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right"/>
        <w:spacing w:before="360" w:after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>ПРО</w:t>
      </w:r>
      <w:r>
        <w:rPr>
          <w:sz w:val="28"/>
          <w:szCs w:val="28"/>
          <w:rFonts w:ascii="Times New Roman" w:eastAsia="Times New Roman" w:hAnsi="Times New Roman" w:cs="Times New Roman"/>
        </w:rPr>
        <w:t>Е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>КТ</w:t>
      </w:r>
    </w:p>
    <w:p>
      <w:pPr>
        <w:jc w:val="center"/>
        <w:spacing w:before="48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b w:val="1"/>
          <w:color w:val="000000"/>
          <w:sz w:val="40"/>
          <w:szCs w:val="40"/>
          <w:smallCaps w:val="1"/>
          <w:rFonts w:ascii="Times New Roman" w:eastAsia="Times New Roman" w:hAnsi="Times New Roman" w:cs="Times New Roman"/>
        </w:rPr>
      </w:pPr>
      <w:r>
        <w:rPr>
          <w:b w:val="1"/>
          <w:color w:val="000000"/>
          <w:sz w:val="40"/>
          <w:szCs w:val="40"/>
          <w:smallCaps w:val="1"/>
          <w:rFonts w:ascii="Times New Roman" w:eastAsia="Times New Roman" w:hAnsi="Times New Roman" w:cs="Times New Roman"/>
        </w:rPr>
        <w:t xml:space="preserve">Закон Укра</w:t>
      </w:r>
      <w:r>
        <w:rPr>
          <w:b w:val="1"/>
          <w:sz w:val="40"/>
          <w:szCs w:val="40"/>
          <w:smallCaps w:val="1"/>
          <w:rFonts w:ascii="Times New Roman" w:eastAsia="Times New Roman" w:hAnsi="Times New Roman" w:cs="Times New Roman"/>
        </w:rPr>
        <w:t>ї</w:t>
      </w:r>
      <w:r>
        <w:rPr>
          <w:b w:val="1"/>
          <w:color w:val="000000"/>
          <w:sz w:val="40"/>
          <w:szCs w:val="40"/>
          <w:smallCaps w:val="1"/>
          <w:rFonts w:ascii="Times New Roman" w:eastAsia="Times New Roman" w:hAnsi="Times New Roman" w:cs="Times New Roman"/>
        </w:rPr>
        <w:t>ни</w:t>
      </w:r>
    </w:p>
    <w:p>
      <w:pPr>
        <w:jc w:val="center"/>
        <w:spacing w:before="360" w:after="36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b w:val="1"/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color w:val="000000"/>
          <w:sz w:val="28"/>
          <w:szCs w:val="28"/>
          <w:rFonts w:ascii="Times New Roman" w:eastAsia="Times New Roman" w:hAnsi="Times New Roman" w:cs="Times New Roman"/>
        </w:rPr>
        <w:t xml:space="preserve">Про внесення зміни до Податкового кодексу України (щодо встановлення </w:t>
      </w:r>
      <w:r>
        <w:rPr>
          <w:b w:val="1"/>
          <w:color w:val="000000"/>
          <w:sz w:val="28"/>
          <w:szCs w:val="28"/>
          <w:rFonts w:ascii="Times New Roman" w:eastAsia="Times New Roman" w:hAnsi="Times New Roman" w:cs="Times New Roman"/>
        </w:rPr>
        <w:t xml:space="preserve">мораторію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на індексацію ставок рентної плати за користування радіочастотним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ресурсом України для виду радіозв’язку </w:t>
      </w:r>
      <w:r>
        <w:rPr>
          <w:sz w:val="28"/>
          <w:szCs w:val="28"/>
          <w:rFonts w:ascii="Times New Roman" w:eastAsia="Times New Roman" w:hAnsi="Times New Roman" w:cs="Times New Roman"/>
        </w:rPr>
        <w:t>«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стільниковий радіозв’язок»</w:t>
      </w:r>
      <w:r>
        <w:rPr>
          <w:b w:val="1"/>
          <w:color w:val="000000"/>
          <w:sz w:val="28"/>
          <w:szCs w:val="28"/>
          <w:rFonts w:ascii="Times New Roman" w:eastAsia="Times New Roman" w:hAnsi="Times New Roman" w:cs="Times New Roman"/>
        </w:rPr>
        <w:t>)</w:t>
      </w:r>
    </w:p>
    <w:p>
      <w:pPr>
        <w:jc w:val="both"/>
        <w:spacing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b w:val="1"/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Верховна Рада України </w:t>
      </w:r>
      <w:r>
        <w:rPr>
          <w:b w:val="1"/>
          <w:color w:val="000000"/>
          <w:sz w:val="28"/>
          <w:szCs w:val="28"/>
          <w:rFonts w:ascii="Times New Roman" w:eastAsia="Times New Roman" w:hAnsi="Times New Roman" w:cs="Times New Roman"/>
        </w:rPr>
        <w:t xml:space="preserve">п о с т а н о в л я є:</w:t>
      </w:r>
    </w:p>
    <w:p>
      <w:pPr>
        <w:jc w:val="both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color w:val="000000"/>
          <w:sz w:val="28"/>
          <w:szCs w:val="28"/>
          <w:rFonts w:ascii="Times New Roman" w:eastAsia="Times New Roman" w:hAnsi="Times New Roman" w:cs="Times New Roman"/>
        </w:rPr>
      </w:pPr>
    </w:p>
    <w:p>
      <w:pPr>
        <w:jc w:val="both"/>
        <w:spacing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bookmarkStart w:id="1" w:name="_30j0zll"/>
      <w:bookmarkEnd w:id="1"/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І.  Підрозділ 9</w:t>
      </w:r>
      <w:r>
        <w:rPr>
          <w:vertAlign w:val="superscript"/>
          <w:b w:val="1"/>
          <w:color w:val="000000"/>
          <w:sz w:val="28"/>
          <w:szCs w:val="28"/>
          <w:rFonts w:ascii="Times New Roman" w:eastAsia="Times New Roman" w:hAnsi="Times New Roman" w:cs="Times New Roman"/>
        </w:rPr>
        <w:t xml:space="preserve">3 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розділу ХХ «Перехідні положення» Податкового кодексу 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України </w:t>
      </w:r>
      <w:r>
        <w:rPr>
          <w:color w:val="000000"/>
          <w:sz w:val="28"/>
          <w:szCs w:val="28"/>
          <w:highlight w:val="white"/>
          <w:rFonts w:ascii="Times New Roman" w:eastAsia="Times New Roman" w:hAnsi="Times New Roman" w:cs="Times New Roman"/>
        </w:rPr>
        <w:t xml:space="preserve">(Відомості Верховної Ради України, 2011, №№ 13-17, ст. 112; 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2020, 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br/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№ 32, ст. 227</w:t>
      </w:r>
      <w:r>
        <w:rPr>
          <w:color w:val="000000"/>
          <w:sz w:val="28"/>
          <w:szCs w:val="28"/>
          <w:highlight w:val="white"/>
          <w:rFonts w:ascii="Times New Roman" w:eastAsia="Times New Roman" w:hAnsi="Times New Roman" w:cs="Times New Roman"/>
        </w:rPr>
        <w:t>)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 доповнити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пунктом 2 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такого змісту:</w:t>
      </w:r>
    </w:p>
    <w:p>
      <w:pPr>
        <w:jc w:val="both"/>
        <w:spacing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>«</w:t>
      </w:r>
      <w:r>
        <w:rPr>
          <w:sz w:val="28"/>
          <w:szCs w:val="28"/>
          <w:rFonts w:ascii="Times New Roman" w:eastAsia="Times New Roman" w:hAnsi="Times New Roman" w:cs="Times New Roman"/>
        </w:rPr>
        <w:t>2.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color w:val="000000"/>
          <w:sz w:val="28"/>
          <w:szCs w:val="28"/>
          <w:highlight w:val="white"/>
          <w:rFonts w:ascii="Times New Roman" w:eastAsia="Times New Roman" w:hAnsi="Times New Roman" w:cs="Times New Roman"/>
        </w:rPr>
        <w:t>Тимчасово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, до 3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>0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 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>червня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 202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>4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 року включно, встановити мораторій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на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індексацію ставок рентної плати за користування радіочастотним ресурсом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України для виду радіозв’язку «стільниковий радіозв’язок»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>».</w:t>
      </w:r>
    </w:p>
    <w:p>
      <w:pPr>
        <w:jc w:val="both"/>
        <w:spacing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4"/>
          <w:szCs w:val="4"/>
          <w:rFonts w:ascii="Times New Roman" w:eastAsia="Times New Roman" w:hAnsi="Times New Roman" w:cs="Times New Roman"/>
        </w:rPr>
      </w:pPr>
    </w:p>
    <w:p>
      <w:pPr>
        <w:jc w:val="both"/>
        <w:spacing w:befor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ІІ. Прикінцеві положення</w:t>
      </w:r>
    </w:p>
    <w:p>
      <w:pPr>
        <w:pStyle w:val="PO26"/>
        <w:numPr>
          <w:ilvl w:val="0"/>
          <w:numId w:val="1"/>
        </w:numPr>
        <w:jc w:val="both"/>
        <w:spacing w:before="240"/>
        <w:contextualSpacing w:val="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left="0" w:firstLine="709"/>
        <w:tabs>
          <w:tab w:val="left" w:pos="993"/>
        </w:tabs>
        <w:rPr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Цей Закон набирає чинності з дня, наступного за днем його 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>опублікування.</w:t>
      </w:r>
    </w:p>
    <w:p>
      <w:pPr>
        <w:jc w:val="both"/>
        <w:spacing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2. Кабінету Міністрів України протягом трьох місяців з дня набрання </w:t>
      </w: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чинності цим Законом:</w:t>
      </w:r>
    </w:p>
    <w:p>
      <w:pPr>
        <w:jc w:val="both"/>
        <w:spacing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  <w:rFonts w:ascii="Times New Roman" w:eastAsia="Times New Roman" w:hAnsi="Times New Roman" w:cs="Times New Roman"/>
        </w:rPr>
        <w:t xml:space="preserve">привести свої нормативно-правові акти у відповідність із цим Законом;</w:t>
      </w:r>
    </w:p>
    <w:p>
      <w:pPr>
        <w:jc w:val="both"/>
        <w:spacing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color w:val="000000"/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забезпечити приведення міністерствами, іншими центральними органами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виконавчої влади їх нормативно-правових актів у відповідність із цим Законом.</w:t>
      </w:r>
    </w:p>
    <w:p>
      <w:pPr>
        <w:spacing w:before="720"/>
        <w:rPr>
          <w:rFonts w:ascii="Calibri" w:eastAsia="Calibri" w:hAnsi="Calibri" w:cs="Calibri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              Голова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br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Верховної Ради України</w:t>
      </w:r>
    </w:p>
    <w:sectPr>
      <w:titlePg/>
      <w15:footnoteColumns w:val="1"/>
      <w:headerReference w:type="default" r:id="rId5"/>
      <w:pgSz w:w="11906" w:h="16838"/>
      <w:pgMar w:top="850" w:left="1701" w:bottom="850" w:right="566" w:header="708" w:footer="708" w:gutter="0"/>
      <w:pgNumType w:fmt="decimal" w:start="1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panose1/>
    <w:charset w:val="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pBdr>
        <w:top w:val="nil" w:sz="0" w:space="0" w:color="000000"/>
        <w:bottom w:val="nil" w:sz="0" w:space="0" w:color="000000"/>
        <w:left w:val="nil" w:sz="0" w:space="0" w:color="000000"/>
        <w:right w:val="nil" w:sz="0" w:space="0" w:color="000000"/>
        <w:between w:val="nil" w:sz="0" w:space="0" w:color="000000"/>
      </w:pBdr>
      <w:tabs>
        <w:tab w:val="center" w:pos="4819"/>
        <w:tab w:val="right" w:pos="9639"/>
      </w:tabs>
      <w:rPr>
        <w:color w:val="000000"/>
      </w:rPr>
    </w:pPr>
    <w:r>
      <w:rPr>
        <w:color w:val="000000"/>
      </w:rPr>
      <w:fldChar w:fldCharType="begin"/>
    </w:r>
    <w:r>
      <w:rPr>
        <w:rFonts w:hint="eastAsia"/>
      </w:rPr>
      <w:instrText>PAGE  \* MERGEFORMAT</w:instrText>
    </w:r>
    <w:r>
      <w:rPr>
        <w:color w:val="000000"/>
      </w:rPr>
      <w:fldChar w:fldCharType="end"/>
    </w:r>
  </w:p>
  <w:p>
    <w:pPr>
      <w:pBdr>
        <w:top w:val="nil" w:sz="0" w:space="0" w:color="000000"/>
        <w:bottom w:val="nil" w:sz="0" w:space="0" w:color="000000"/>
        <w:left w:val="nil" w:sz="0" w:space="0" w:color="000000"/>
        <w:right w:val="nil" w:sz="0" w:space="0" w:color="000000"/>
        <w:between w:val="nil" w:sz="0" w:space="0" w:color="000000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476CB406"/>
    <w:lvl w:ilvl="0">
      <w:lvlJc w:val="left"/>
      <w:numFmt w:val="decimal"/>
      <w:start w:val="1"/>
      <w:suff w:val="tab"/>
      <w:pPr>
        <w:ind w:left="1069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789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509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3229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949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669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389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6109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829" w:hanging="180"/>
        <w:rPr/>
      </w:pPr>
      <w:rPr/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6"/>
        <w:szCs w:val="26"/>
        <w:rFonts w:ascii="Antiqua" w:eastAsia="Antiqua" w:hAnsi="Antiqua" w:cs="Antiqua"/>
        <w:lang w:bidi="ar-SA" w:val="uk-UA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6" w:type="paragraph">
    <w:name w:val="Title"/>
    <w:basedOn w:val="PO1"/>
    <w:next w:val="PO1"/>
    <w:qFormat/>
    <w:uiPriority w:val="6"/>
    <w:pPr>
      <w:spacing w:before="480" w:after="120"/>
      <w:rPr/>
    </w:pPr>
    <w:rPr>
      <w:b w:val="1"/>
      <w:sz w:val="72"/>
      <w:szCs w:val="72"/>
    </w:rPr>
  </w:style>
  <w:style w:styleId="PO7" w:type="paragraph">
    <w:name w:val="heading 1"/>
    <w:basedOn w:val="PO1"/>
    <w:next w:val="PO1"/>
    <w:qFormat/>
    <w:uiPriority w:val="7"/>
    <w:pPr>
      <w:spacing w:before="480" w:after="120"/>
      <w:rPr/>
      <w:outlineLvl w:val="0"/>
    </w:pPr>
    <w:rPr>
      <w:b w:val="1"/>
      <w:sz w:val="48"/>
      <w:szCs w:val="48"/>
    </w:rPr>
  </w:style>
  <w:style w:styleId="PO8" w:type="paragraph">
    <w:name w:val="heading 2"/>
    <w:basedOn w:val="PO1"/>
    <w:next w:val="PO1"/>
    <w:qFormat/>
    <w:uiPriority w:val="8"/>
    <w:semiHidden/>
    <w:unhideWhenUsed/>
    <w:pPr>
      <w:spacing w:before="360" w:after="80"/>
      <w:rPr/>
      <w:outlineLvl w:val="1"/>
    </w:pPr>
    <w:rPr>
      <w:b w:val="1"/>
      <w:sz w:val="36"/>
      <w:szCs w:val="36"/>
    </w:rPr>
  </w:style>
  <w:style w:styleId="PO9" w:type="paragraph">
    <w:name w:val="heading 3"/>
    <w:basedOn w:val="PO1"/>
    <w:next w:val="PO1"/>
    <w:qFormat/>
    <w:uiPriority w:val="9"/>
    <w:semiHidden/>
    <w:unhideWhenUsed/>
    <w:pPr>
      <w:spacing w:before="280" w:after="80"/>
      <w:rPr/>
      <w:outlineLvl w:val="2"/>
    </w:pPr>
    <w:rPr>
      <w:b w:val="1"/>
      <w:sz w:val="28"/>
      <w:szCs w:val="28"/>
    </w:rPr>
  </w:style>
  <w:style w:styleId="PO10" w:type="paragraph">
    <w:name w:val="heading 4"/>
    <w:basedOn w:val="PO1"/>
    <w:next w:val="PO1"/>
    <w:qFormat/>
    <w:uiPriority w:val="10"/>
    <w:semiHidden/>
    <w:unhideWhenUsed/>
    <w:pPr>
      <w:spacing w:before="240" w:after="40"/>
      <w:rPr/>
      <w:outlineLvl w:val="3"/>
    </w:pPr>
    <w:rPr>
      <w:b w:val="1"/>
      <w:sz w:val="24"/>
      <w:szCs w:val="24"/>
    </w:rPr>
  </w:style>
  <w:style w:styleId="PO11" w:type="paragraph">
    <w:name w:val="heading 5"/>
    <w:basedOn w:val="PO1"/>
    <w:next w:val="PO1"/>
    <w:qFormat/>
    <w:uiPriority w:val="11"/>
    <w:semiHidden/>
    <w:unhideWhenUsed/>
    <w:pPr>
      <w:spacing w:before="220" w:after="40"/>
      <w:rPr/>
      <w:outlineLvl w:val="4"/>
    </w:pPr>
    <w:rPr>
      <w:b w:val="1"/>
      <w:sz w:val="22"/>
      <w:szCs w:val="22"/>
    </w:rPr>
  </w:style>
  <w:style w:styleId="PO12" w:type="paragraph">
    <w:name w:val="heading 6"/>
    <w:basedOn w:val="PO1"/>
    <w:next w:val="PO1"/>
    <w:qFormat/>
    <w:uiPriority w:val="12"/>
    <w:semiHidden/>
    <w:unhideWhenUsed/>
    <w:pPr>
      <w:spacing w:before="200" w:after="40"/>
      <w:rPr/>
      <w:outlineLvl w:val="5"/>
    </w:pPr>
    <w:rPr>
      <w:b w:val="1"/>
      <w:sz w:val="20"/>
      <w:szCs w:val="20"/>
    </w:rPr>
  </w:style>
  <w:style w:styleId="PO16" w:type="paragraph">
    <w:name w:val="Subtitle"/>
    <w:basedOn w:val="PO1"/>
    <w:next w:val="PO1"/>
    <w:qFormat/>
    <w:uiPriority w:val="16"/>
    <w:pPr>
      <w:spacing w:before="360" w:after="80"/>
      <w:rPr/>
    </w:pPr>
    <w:rPr>
      <w:i w:val="1"/>
      <w:color w:val="666666"/>
      <w:sz w:val="48"/>
      <w:szCs w:val="48"/>
      <w:rFonts w:ascii="Georgia" w:eastAsia="Georgia" w:hAnsi="Georgia" w:cs="Georgia"/>
    </w:rPr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</w:style>
  <w:style w:customStyle="1" w:styleId="PO151" w:type="table">
    <w:name w:val="Table Normal"/>
    <w:uiPriority w:val="151"/>
    <w:tblPr>
      <w:tblCellMar>
        <w:bottom w:type="dxa" w:w="0"/>
        <w:left w:type="dxa" w:w="0"/>
        <w:right w:type="dxa" w:w="0"/>
        <w:top w:type="dxa" w:w="0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1126</Characters>
  <CharactersWithSpaces>0</CharactersWithSpaces>
  <DocSecurity>0</DocSecurity>
  <HyperlinksChanged>false</HyperlinksChanged>
  <Lines>8</Lines>
  <LinksUpToDate>false</LinksUpToDate>
  <Pages>1</Pages>
  <Paragraphs>2</Paragraphs>
  <Words>168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Кічак Юлія Василівна</dc:creator>
  <cp:lastModifiedBy/>
  <dcterms:modified xsi:type="dcterms:W3CDTF">2021-01-22T10:26:00Z</dcterms:modified>
</cp:coreProperties>
</file>