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AB64" w14:textId="77777777" w:rsidR="009E143B" w:rsidRDefault="008867E3">
      <w:pPr>
        <w:spacing w:after="16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ПОРІВНЯЛЬНА ТАБЛИЦЯ</w:t>
      </w:r>
    </w:p>
    <w:p w14:paraId="5A70025A" w14:textId="60A86B77" w:rsidR="009E143B" w:rsidRDefault="008867E3">
      <w:pPr>
        <w:spacing w:after="16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до проекту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>Деякі</w:t>
      </w:r>
      <w:proofErr w:type="spellEnd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>питання</w:t>
      </w:r>
      <w:proofErr w:type="spellEnd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>декларування</w:t>
      </w:r>
      <w:proofErr w:type="spellEnd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>реєстрації</w:t>
      </w:r>
      <w:proofErr w:type="spellEnd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>місця</w:t>
      </w:r>
      <w:proofErr w:type="spellEnd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>проживання</w:t>
      </w:r>
      <w:proofErr w:type="spellEnd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>ведення</w:t>
      </w:r>
      <w:proofErr w:type="spellEnd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>реєстрів</w:t>
      </w:r>
      <w:proofErr w:type="spellEnd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>територіальних</w:t>
      </w:r>
      <w:proofErr w:type="spellEnd"/>
      <w:r w:rsidR="003736CD" w:rsidRPr="003736CD">
        <w:rPr>
          <w:rFonts w:ascii="Times New Roman" w:eastAsia="Times New Roman" w:hAnsi="Times New Roman" w:cs="Times New Roman"/>
          <w:b/>
          <w:sz w:val="28"/>
          <w:szCs w:val="28"/>
        </w:rPr>
        <w:t xml:space="preserve"> громад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f0"/>
        <w:tblW w:w="139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0"/>
        <w:gridCol w:w="6945"/>
      </w:tblGrid>
      <w:tr w:rsidR="009E143B" w14:paraId="5B152B04" w14:textId="77777777">
        <w:trPr>
          <w:trHeight w:val="675"/>
        </w:trPr>
        <w:tc>
          <w:tcPr>
            <w:tcW w:w="6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72D9C" w14:textId="77777777" w:rsidR="009E143B" w:rsidRDefault="008867E3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</w:p>
        </w:tc>
        <w:tc>
          <w:tcPr>
            <w:tcW w:w="6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7744" w14:textId="77777777" w:rsidR="009E143B" w:rsidRDefault="008867E3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проекту акта</w:t>
            </w:r>
          </w:p>
        </w:tc>
      </w:tr>
      <w:tr w:rsidR="009E143B" w14:paraId="2A3658B8" w14:textId="77777777">
        <w:trPr>
          <w:trHeight w:val="960"/>
        </w:trPr>
        <w:tc>
          <w:tcPr>
            <w:tcW w:w="139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24F3" w14:textId="77777777" w:rsidR="009E143B" w:rsidRDefault="008867E3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Порядок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затвердженому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зазначеною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постановою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затверджений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постановою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грудня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2016 р. № 921</w:t>
            </w:r>
          </w:p>
        </w:tc>
      </w:tr>
      <w:tr w:rsidR="009E143B" w14:paraId="4EC8F3F5" w14:textId="77777777">
        <w:trPr>
          <w:trHeight w:val="4290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6478A" w14:textId="77777777" w:rsidR="009E143B" w:rsidRDefault="008867E3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З метою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утворюється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6023318D" w14:textId="77777777" w:rsidR="009E143B" w:rsidRDefault="008867E3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4130E5D0" w14:textId="77777777" w:rsidR="009E143B" w:rsidRDefault="008867E3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Єдиний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реєстр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телекомунікаційна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збирання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зберігання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обробки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BED2326" w14:textId="77777777" w:rsidR="009E143B" w:rsidRDefault="009E143B">
            <w:pPr>
              <w:spacing w:after="160" w:line="252" w:lineRule="auto"/>
              <w:ind w:firstLine="5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2054" w14:textId="77777777" w:rsidR="009E143B" w:rsidRDefault="008867E3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5. З метою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утворюється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96700D8" w14:textId="77777777" w:rsidR="009E143B" w:rsidRDefault="008867E3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3F983F80" w14:textId="77777777" w:rsidR="009E143B" w:rsidRDefault="008867E3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Єдиний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реєстр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телекомунікаційна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збирання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зберігання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обробки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9E143B" w14:paraId="5FF2D39E" w14:textId="77777777">
        <w:trPr>
          <w:trHeight w:val="1875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3CB68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Єдиного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реєстру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таких норм: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209C" w14:textId="77777777" w:rsidR="009E143B" w:rsidRDefault="008867E3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Єдиного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реєстру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таких норм:</w:t>
            </w:r>
          </w:p>
        </w:tc>
      </w:tr>
      <w:tr w:rsidR="009E143B" w14:paraId="239619C8" w14:textId="77777777">
        <w:trPr>
          <w:trHeight w:val="2850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312A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встановлених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фізичних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організовується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безпосередньо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органами,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працюють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3C6C9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встановленого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порядку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декларування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організовується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безпосередньо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органами,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працюють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7F2E0581" w14:textId="77777777" w:rsidR="009E143B" w:rsidRDefault="009E143B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143B" w14:paraId="533F4A91" w14:textId="77777777">
        <w:trPr>
          <w:trHeight w:val="2850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C122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Норма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відсутня</w:t>
            </w:r>
            <w:proofErr w:type="spellEnd"/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A6F6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Взяття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наявні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Єдиному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державному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реєстрі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підставі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відомостей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декларування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задекларованого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зареєстрованого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електронній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надісланих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органами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через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єдину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інформаційну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систему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внутрішніх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справ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Єдиного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реєстру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37690706" w14:textId="2CDC4116" w:rsidR="005F4624" w:rsidRDefault="005F4624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143B" w14:paraId="4369D25A" w14:textId="77777777">
        <w:trPr>
          <w:trHeight w:val="525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C9144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Норма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відсутня</w:t>
            </w:r>
            <w:proofErr w:type="spellEnd"/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7937" w14:textId="77777777" w:rsidR="00D94EAB" w:rsidRPr="00D94EAB" w:rsidRDefault="008867E3" w:rsidP="00D94EAB">
            <w:pPr>
              <w:spacing w:before="120" w:after="12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. </w:t>
            </w:r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разі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коли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відомості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призовника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військовозобов’язаного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резервіста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не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включені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Єдиного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державного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реєстру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військовозобов’язаний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власним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бажанням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подати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відомості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для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включення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Єдиного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державного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реєстру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декларації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використанням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засобів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Єдиного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державного веб-порталу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електронних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далі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Портал 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Дія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 за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запровадження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інформаційної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взаємодії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0DE105DB" w14:textId="77777777" w:rsidR="00D94EAB" w:rsidRPr="00D94EAB" w:rsidRDefault="00D94EAB" w:rsidP="00D94EAB">
            <w:pPr>
              <w:spacing w:before="120" w:after="12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Порталом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Дія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державного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направляються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такі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відомості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власне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ім’я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по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батькові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(за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наявності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), стать, дата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народження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реєстраційний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номер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облікової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картки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платника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податків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унікальний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номер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Єдиному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державному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демографічному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(за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наявності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тип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військово-облікового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документа,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районного (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об’єднаного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районного),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міського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(районного 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містах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об’єднаного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міського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територіального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центру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комплектування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соціальної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підтримки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територіального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центру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комплектування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підтримки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Республіки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областей,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міст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Києва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Севастополя (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далі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територіальний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центр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комплектування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підтримки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), в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якому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особа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перебуває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та/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перебувала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зазначеному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обліку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серія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та/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номер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військово-облікового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документа (за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наявності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), адреса поточного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адреса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попереднього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(для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осіб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дату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заяви не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мають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). </w:t>
            </w:r>
          </w:p>
          <w:p w14:paraId="0CAA51FE" w14:textId="77777777" w:rsidR="00D94EAB" w:rsidRPr="00D94EAB" w:rsidRDefault="00D94EAB" w:rsidP="00D94EAB">
            <w:pPr>
              <w:spacing w:before="120" w:after="12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Відомості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Порталом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Дія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державного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включаються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державного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забезпечується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присвоєння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окремого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номера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 такому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2C1EE7C9" w14:textId="77777777" w:rsidR="009E143B" w:rsidRDefault="00D94EAB" w:rsidP="00D94EAB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Взаємодія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Порталу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Дія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Єдиним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державним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реєстром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здійснюється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через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систему МВС до моменту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запровадження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електронної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взаємодії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через систему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взаємодії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державних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згідно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Порядком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організації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взаємодії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державних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затвердженим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постановою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Кабінету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Міністрів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травня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2018 р. № 357 “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Деякі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питання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організації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взаємодії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державних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(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Офіційний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вісник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2018 р., № 41, ст. 1450; 2019 р., № 34, ст. 1204).</w:t>
            </w:r>
          </w:p>
          <w:p w14:paraId="4D11EACE" w14:textId="2546E729" w:rsidR="005F4624" w:rsidRDefault="005F4624" w:rsidP="00D94EAB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143B" w14:paraId="466B298A" w14:textId="77777777">
        <w:trPr>
          <w:trHeight w:val="525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A7A7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Норма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відсутня</w:t>
            </w:r>
            <w:proofErr w:type="spellEnd"/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0146" w14:textId="77777777" w:rsidR="00D94EAB" w:rsidRPr="00D94EAB" w:rsidRDefault="008867E3" w:rsidP="00D9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Відомості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декларування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задекларованого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зареєстрованого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надіслані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органом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через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єдину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інформаційну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систему МВС до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Реєстру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є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підставою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для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взяття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особи на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військовий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облік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військового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обліку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відповідним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територіальним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центром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комплектування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соціальної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підтримки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6C7C701" w14:textId="77777777" w:rsidR="00D94EAB" w:rsidRPr="00D94EAB" w:rsidRDefault="00D94EAB" w:rsidP="00D9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звернення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призовника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резервіста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територіального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центру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комплектування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підтримки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новим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задекларованим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їх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військово-облікових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документах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проставляються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відповідні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відмітки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взяття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військовий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облік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новим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C71C54" w14:textId="77777777" w:rsidR="009E143B" w:rsidRDefault="00D94EAB" w:rsidP="00D9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Відомості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декларування</w:t>
            </w:r>
            <w:proofErr w:type="spellEnd"/>
            <w:proofErr w:type="gram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задекларованого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заявою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декларацією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),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поданій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електронній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формі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не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включаються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органом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повідомлення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передбаченого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додатком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16 до </w:t>
            </w:r>
            <w:proofErr w:type="spellStart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цього</w:t>
            </w:r>
            <w:proofErr w:type="spellEnd"/>
            <w:r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Порядку.</w:t>
            </w:r>
          </w:p>
          <w:p w14:paraId="4BDF090E" w14:textId="38AEE655" w:rsidR="005F4624" w:rsidRDefault="005F4624" w:rsidP="00D9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</w:tr>
      <w:tr w:rsidR="009E143B" w14:paraId="444CF0E2" w14:textId="77777777">
        <w:trPr>
          <w:trHeight w:val="525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699A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48.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працюють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річкових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суднах,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місцезнаходженням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приписки таких суден.</w:t>
            </w:r>
          </w:p>
          <w:p w14:paraId="6E5103F2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плаваючого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річкового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флоту,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мешкають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портах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приписки суден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пунктах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дислокації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 персоналу,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судна.</w:t>
            </w:r>
          </w:p>
          <w:p w14:paraId="3511544D" w14:textId="77777777" w:rsidR="009E143B" w:rsidRDefault="009E143B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CB56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48.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працюють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річкових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суднах,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місцезнаходженням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приписки таких суден.</w:t>
            </w:r>
          </w:p>
          <w:p w14:paraId="2F149961" w14:textId="77777777" w:rsidR="009E143B" w:rsidRDefault="008867E3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плаваючого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річкового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флоту,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мешкають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портах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приписки суден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пунктах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дислокації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служб персоналу,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судна.</w:t>
            </w:r>
          </w:p>
        </w:tc>
      </w:tr>
      <w:tr w:rsidR="009E143B" w14:paraId="63692C16" w14:textId="77777777">
        <w:trPr>
          <w:trHeight w:val="525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F55A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56.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9EE6312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795BA086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Єдиного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реєстру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покладених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2A1F9A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шляхом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узагальнюються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реєструються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Єдиному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державному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реєстрі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0B3894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533F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56.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B344452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5F2DCC9D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покладених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0F802B" w14:textId="77777777" w:rsidR="009E143B" w:rsidRDefault="008867E3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шляхом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узагальнюються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реєструються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C5E597" w14:textId="77777777" w:rsidR="009E143B" w:rsidRDefault="008867E3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1CB4E95C" w14:textId="799686FF" w:rsidR="005F4624" w:rsidRDefault="005F4624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143B" w14:paraId="4A744EC9" w14:textId="77777777">
        <w:trPr>
          <w:trHeight w:val="525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34A3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F693997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62D330AB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Єдиного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реєстру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покладених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FEEFA7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...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CA37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4264CB7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1C59CCD2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Єдиного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реєстру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покладених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53F775" w14:textId="77777777" w:rsidR="009E143B" w:rsidRDefault="008867E3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3C134614" w14:textId="29059C90" w:rsidR="005F4624" w:rsidRDefault="005F4624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143B" w14:paraId="28C87997" w14:textId="77777777">
        <w:trPr>
          <w:trHeight w:val="525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4B2F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58.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EF445EE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військово-облікових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7528D">
              <w:fldChar w:fldCharType="begin"/>
            </w:r>
            <w:r w:rsidR="0037528D">
              <w:instrText xml:space="preserve"> HYPERLINK "https://zakon.rada.gov.ua/laws/show/921-2016-%D0%BF" \l "n322" \h </w:instrText>
            </w:r>
            <w:r w:rsidR="0037528D">
              <w:fldChar w:fldCharType="separat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  <w:r w:rsidR="0037528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5C2B9F0A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надсилають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щомісяця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5 числа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7528D">
              <w:fldChar w:fldCharType="begin"/>
            </w:r>
            <w:r w:rsidR="0037528D">
              <w:instrText xml:space="preserve"> HYPERLINK "https://zakon.rada.gov.ua/laws/show/921-2016-%D0%BF" \l "n327" \h </w:instrText>
            </w:r>
            <w:r w:rsidR="0037528D">
              <w:fldChar w:fldCharType="separat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</w:t>
            </w:r>
            <w:r w:rsidR="0037528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0812BD6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повідомляють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зареєстрованих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7528D">
              <w:fldChar w:fldCharType="begin"/>
            </w:r>
            <w:r w:rsidR="0037528D">
              <w:instrText xml:space="preserve"> HYPERLINK "https://zakon.rada.gov.ua/laws/show/921-2016-%D0%BF" \l "n329" \h </w:instrText>
            </w:r>
            <w:r w:rsidR="0037528D">
              <w:fldChar w:fldCharType="separat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</w:t>
            </w:r>
            <w:r w:rsidR="0037528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467B651E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контролю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ними правил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порушують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надсилаються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E30878" w14:textId="77777777" w:rsidR="009E143B" w:rsidRDefault="009E143B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88B88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58.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E9DB320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задекларованого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особистого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візиту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органу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військово-облікових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документах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позначок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комісаріатів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15);</w:t>
            </w:r>
          </w:p>
          <w:p w14:paraId="02EDC0D9" w14:textId="3C7F7A7D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надсилають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щомісяця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5 числа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комісаріатів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задекларованого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 w:rsidR="00D94EAB" w:rsidRPr="00D94E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37528D">
              <w:fldChar w:fldCharType="begin"/>
            </w:r>
            <w:r w:rsidR="0037528D">
              <w:instrText xml:space="preserve"> HYPERLINK "https://zakon.rada.gov.ua/laws/show/921-2016-%D0%BF" \l "n327" \h </w:instrText>
            </w:r>
            <w:r w:rsidR="0037528D"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16</w:t>
            </w:r>
            <w:r w:rsidR="003752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);</w:t>
            </w:r>
          </w:p>
          <w:p w14:paraId="760BFFCC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задекларованого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поданою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використанням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Порталу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окремого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номеру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та без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пред'явлення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такими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військово-облікових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;</w:t>
            </w:r>
          </w:p>
          <w:p w14:paraId="45613371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повідомляють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комісаріатів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37528D">
              <w:fldChar w:fldCharType="begin"/>
            </w:r>
            <w:r w:rsidR="0037528D">
              <w:instrText xml:space="preserve"> HYPERLINK "https://zakon.rada.gov.ua/laws/show/921-2016-%D0%BF" \l "n329" \h </w:instrText>
            </w:r>
            <w:r w:rsidR="0037528D"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="003752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).</w:t>
            </w:r>
          </w:p>
          <w:p w14:paraId="52EB5D1E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територіальних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громад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задекларованого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військовозобов'язаних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отримуються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відомчої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Державної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міграційної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щоденно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5FDD5B1" w14:textId="77777777" w:rsidR="005F4624" w:rsidRDefault="005F4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FF4A0C" w14:textId="2A60287C" w:rsidR="005F4624" w:rsidRDefault="005F4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143B" w14:paraId="3FC5AE6A" w14:textId="77777777">
        <w:trPr>
          <w:trHeight w:val="525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576B" w14:textId="77777777" w:rsidR="009E143B" w:rsidRDefault="009E143B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f1"/>
              <w:tblW w:w="678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780"/>
            </w:tblGrid>
            <w:tr w:rsidR="009E143B" w14:paraId="7633F861" w14:textId="77777777">
              <w:trPr>
                <w:trHeight w:val="1040"/>
              </w:trPr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3F7B3E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2" w:lineRule="auto"/>
                    <w:ind w:firstLine="439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Додаток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15</w:t>
                  </w:r>
                </w:p>
                <w:p w14:paraId="6F67A50E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2" w:lineRule="auto"/>
                    <w:ind w:firstLine="4393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 Порядку</w:t>
                  </w:r>
                </w:p>
              </w:tc>
            </w:tr>
          </w:tbl>
          <w:p w14:paraId="42CC8977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</w:t>
            </w:r>
          </w:p>
          <w:p w14:paraId="3BC2672F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</w:p>
          <w:p w14:paraId="2BFD3E75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військово-облікових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посвідчення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приписку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дільниці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квитка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посвідчення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D51D3D0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відміток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відмітки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37AD14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зареєстрували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повідомленні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F79BEC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Норма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відсутня</w:t>
            </w:r>
            <w:proofErr w:type="spellEnd"/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ADC3" w14:textId="77777777" w:rsidR="009E143B" w:rsidRDefault="009E143B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f2"/>
              <w:tblW w:w="678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780"/>
            </w:tblGrid>
            <w:tr w:rsidR="009E143B" w14:paraId="1BA96274" w14:textId="77777777">
              <w:trPr>
                <w:trHeight w:val="1040"/>
              </w:trPr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87E395" w14:textId="77777777" w:rsidR="009E143B" w:rsidRDefault="008867E3">
                  <w:pPr>
                    <w:spacing w:after="160" w:line="252" w:lineRule="auto"/>
                    <w:ind w:firstLine="439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Додаток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15</w:t>
                  </w:r>
                </w:p>
                <w:p w14:paraId="3F32D1DA" w14:textId="77777777" w:rsidR="009E143B" w:rsidRDefault="008867E3">
                  <w:pPr>
                    <w:spacing w:after="160" w:line="252" w:lineRule="auto"/>
                    <w:ind w:firstLine="4393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 Порядку</w:t>
                  </w:r>
                </w:p>
              </w:tc>
            </w:tr>
          </w:tbl>
          <w:p w14:paraId="4C32AFD7" w14:textId="77777777" w:rsidR="009E143B" w:rsidRDefault="008867E3">
            <w:pPr>
              <w:spacing w:after="160" w:line="252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</w:t>
            </w:r>
          </w:p>
          <w:p w14:paraId="4F90B1AF" w14:textId="77777777" w:rsidR="009E143B" w:rsidRDefault="008867E3">
            <w:pPr>
              <w:spacing w:after="160" w:line="252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</w:p>
          <w:p w14:paraId="7CFD5399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військово-облікових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посвідчення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приписку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дільниці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квитка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посвідчення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1D7D0A4C" w14:textId="77777777" w:rsidR="009E143B" w:rsidRDefault="008867E3">
            <w:pP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відміток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відмітки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комісаріату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00C6DF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зареєстрували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повідомленні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DA3ADD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задекларованого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зареєстрованого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призовників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військовозобов’язаних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резервістів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декларацією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поданою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засобами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Порталу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зазначених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Порядку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декларування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).</w:t>
            </w:r>
          </w:p>
          <w:p w14:paraId="50113907" w14:textId="77777777" w:rsidR="009E143B" w:rsidRDefault="009E1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143B" w14:paraId="0DADF70D" w14:textId="77777777">
        <w:trPr>
          <w:trHeight w:val="525"/>
        </w:trPr>
        <w:tc>
          <w:tcPr>
            <w:tcW w:w="13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EF6D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Розпорядження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травня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2014 р. № 523-р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Деякі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через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центри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”</w:t>
            </w:r>
          </w:p>
        </w:tc>
      </w:tr>
      <w:tr w:rsidR="009E143B" w14:paraId="7298A0F2" w14:textId="77777777">
        <w:trPr>
          <w:trHeight w:val="525"/>
        </w:trPr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6804" w14:textId="77777777" w:rsidR="009E143B" w:rsidRDefault="009E143B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f3"/>
              <w:tblW w:w="679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795"/>
            </w:tblGrid>
            <w:tr w:rsidR="009E143B" w14:paraId="42A8445B" w14:textId="77777777">
              <w:trPr>
                <w:trHeight w:val="1850"/>
              </w:trPr>
              <w:tc>
                <w:tcPr>
                  <w:tcW w:w="6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02476F" w14:textId="77777777" w:rsidR="009E143B" w:rsidRDefault="008867E3">
                  <w:pPr>
                    <w:shd w:val="clear" w:color="auto" w:fill="FFFFFF"/>
                    <w:spacing w:before="160" w:after="320" w:line="240" w:lineRule="auto"/>
                    <w:ind w:left="29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Додаток</w:t>
                  </w:r>
                  <w:proofErr w:type="spellEnd"/>
                </w:p>
                <w:p w14:paraId="597B28F7" w14:textId="77777777" w:rsidR="009E143B" w:rsidRDefault="008867E3">
                  <w:pPr>
                    <w:shd w:val="clear" w:color="auto" w:fill="FFFFFF"/>
                    <w:spacing w:before="160" w:after="320" w:line="240" w:lineRule="auto"/>
                    <w:ind w:left="29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розпорядження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Кабінету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Міністрів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</w:p>
                <w:p w14:paraId="64DF7C0C" w14:textId="77777777" w:rsidR="009E143B" w:rsidRDefault="008867E3">
                  <w:pPr>
                    <w:shd w:val="clear" w:color="auto" w:fill="FFFFFF"/>
                    <w:spacing w:before="160" w:after="320" w:line="240" w:lineRule="auto"/>
                    <w:ind w:left="29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16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травня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2014 р. № 523</w:t>
                  </w:r>
                </w:p>
                <w:p w14:paraId="6CA6BCE9" w14:textId="77777777" w:rsidR="009E143B" w:rsidRDefault="008867E3">
                  <w:pPr>
                    <w:shd w:val="clear" w:color="auto" w:fill="FFFFFF"/>
                    <w:spacing w:before="160" w:after="320" w:line="240" w:lineRule="auto"/>
                    <w:ind w:left="29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редакції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розпорядження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Кабінету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Міністрів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</w:p>
                <w:p w14:paraId="53AA2DB4" w14:textId="77777777" w:rsidR="009E143B" w:rsidRDefault="008867E3">
                  <w:pPr>
                    <w:shd w:val="clear" w:color="auto" w:fill="FFFFFF"/>
                    <w:spacing w:before="160" w:after="320" w:line="240" w:lineRule="auto"/>
                    <w:ind w:left="29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18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серпня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2021 р. № 969-р)</w:t>
                  </w:r>
                </w:p>
              </w:tc>
            </w:tr>
          </w:tbl>
          <w:p w14:paraId="4C533B76" w14:textId="77777777" w:rsidR="009E143B" w:rsidRDefault="008867E3">
            <w:pPr>
              <w:shd w:val="clear" w:color="auto" w:fill="FFFFFF"/>
              <w:spacing w:before="300" w:after="460" w:line="252" w:lineRule="auto"/>
              <w:ind w:left="460" w:right="4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</w:t>
            </w:r>
          </w:p>
          <w:p w14:paraId="301D06FE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виконавчої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надаються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органами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 порядку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делегованих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обов’язковими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через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центри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</w:t>
            </w:r>
            <w:proofErr w:type="spellEnd"/>
          </w:p>
          <w:tbl>
            <w:tblPr>
              <w:tblStyle w:val="af4"/>
              <w:tblW w:w="684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645"/>
              <w:gridCol w:w="1224"/>
              <w:gridCol w:w="2410"/>
              <w:gridCol w:w="1843"/>
              <w:gridCol w:w="718"/>
            </w:tblGrid>
            <w:tr w:rsidR="009E143B" w14:paraId="697C686E" w14:textId="77777777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A2120B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№ з/п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9B0CAF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Ідентифікатор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426380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Найменування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адміністративної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послуги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EFFBBF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Правові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підстави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надання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адміністративної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послуги</w:t>
                  </w:r>
                  <w:proofErr w:type="spellEnd"/>
                </w:p>
              </w:tc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99847C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lastRenderedPageBreak/>
                    <w:t>Примітка</w:t>
                  </w:r>
                  <w:proofErr w:type="spellEnd"/>
                </w:p>
              </w:tc>
            </w:tr>
            <w:tr w:rsidR="009E143B" w14:paraId="62B05356" w14:textId="77777777">
              <w:tc>
                <w:tcPr>
                  <w:tcW w:w="645" w:type="dxa"/>
                  <w:tcBorders>
                    <w:top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BF2691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104.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376404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04B10A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Внесення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паспорта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громадянина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України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відомостей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зміну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нумерації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будинків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перейменування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вулиць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проспектів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бульварів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площ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провулків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кварталів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тощо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),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населених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пунктів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адміністративно-територіальних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одиниць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зміни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адміністративно-територіальному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устрої</w:t>
                  </w:r>
                  <w:proofErr w:type="spellEnd"/>
                </w:p>
                <w:p w14:paraId="4B08A054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FB8C3C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Закон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України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“Про свободу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пересування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вільний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вибір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проживання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Україні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718" w:type="dxa"/>
                  <w:tcBorders>
                    <w:top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3FABD7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9E143B" w14:paraId="6ABB0DC6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79EA3A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1B80B2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250D67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7FC8A3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40F31B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2D1D314D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0C6343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295.</w:t>
                  </w:r>
                </w:p>
              </w:tc>
              <w:tc>
                <w:tcPr>
                  <w:tcW w:w="12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48BE41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00034</w:t>
                  </w:r>
                </w:p>
              </w:tc>
              <w:tc>
                <w:tcPr>
                  <w:tcW w:w="2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B7B74D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Реєстрація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проживання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FFF032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Закон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України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“Про свободу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пересування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вільний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вибір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проживання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Україні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  <w:p w14:paraId="1BAE854F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13CE4B2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81E2E98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EE6451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1, 6</w:t>
                  </w:r>
                </w:p>
                <w:p w14:paraId="1C8B753C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190D1F26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F91AC8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296.</w:t>
                  </w:r>
                </w:p>
              </w:tc>
              <w:tc>
                <w:tcPr>
                  <w:tcW w:w="12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855342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01217</w:t>
                  </w:r>
                </w:p>
              </w:tc>
              <w:tc>
                <w:tcPr>
                  <w:tcW w:w="2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D7D456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Реєстрація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проживання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дитини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14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років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F9940C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-“-</w:t>
                  </w:r>
                </w:p>
              </w:tc>
              <w:tc>
                <w:tcPr>
                  <w:tcW w:w="71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B18206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1, 6</w:t>
                  </w:r>
                </w:p>
                <w:p w14:paraId="72D60F12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715B4260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70C727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297.</w:t>
                  </w:r>
                </w:p>
              </w:tc>
              <w:tc>
                <w:tcPr>
                  <w:tcW w:w="12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94EE8C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00037</w:t>
                  </w:r>
                </w:p>
              </w:tc>
              <w:tc>
                <w:tcPr>
                  <w:tcW w:w="2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90405B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Зняття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реєстрації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проживання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01D88D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-“-</w:t>
                  </w:r>
                </w:p>
              </w:tc>
              <w:tc>
                <w:tcPr>
                  <w:tcW w:w="71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DD4581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1, 6</w:t>
                  </w:r>
                </w:p>
                <w:p w14:paraId="49C04D1E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134668A0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0E4BD8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298.</w:t>
                  </w:r>
                </w:p>
              </w:tc>
              <w:tc>
                <w:tcPr>
                  <w:tcW w:w="12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8077C2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00039</w:t>
                  </w:r>
                </w:p>
              </w:tc>
              <w:tc>
                <w:tcPr>
                  <w:tcW w:w="2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7F2298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Видача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довідки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зняття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реєстрації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проживання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5F083E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-“-</w:t>
                  </w:r>
                </w:p>
              </w:tc>
              <w:tc>
                <w:tcPr>
                  <w:tcW w:w="71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CC296F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1, 6</w:t>
                  </w:r>
                </w:p>
                <w:p w14:paraId="7A5E6B46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4D2C988C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286FE9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299.</w:t>
                  </w:r>
                </w:p>
              </w:tc>
              <w:tc>
                <w:tcPr>
                  <w:tcW w:w="12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59F073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00040</w:t>
                  </w:r>
                </w:p>
              </w:tc>
              <w:tc>
                <w:tcPr>
                  <w:tcW w:w="2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6A251A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Реєстрація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перебування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1E0832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-“-</w:t>
                  </w:r>
                </w:p>
              </w:tc>
              <w:tc>
                <w:tcPr>
                  <w:tcW w:w="71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2D5762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1, 6</w:t>
                  </w:r>
                </w:p>
                <w:p w14:paraId="267E0FB0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119B2DB5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E502E2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300.</w:t>
                  </w:r>
                </w:p>
              </w:tc>
              <w:tc>
                <w:tcPr>
                  <w:tcW w:w="12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AC71A4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00038</w:t>
                  </w:r>
                </w:p>
              </w:tc>
              <w:tc>
                <w:tcPr>
                  <w:tcW w:w="2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907CBE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Видача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довідки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реєстрацію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проживання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або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перебування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особи</w:t>
                  </w:r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0E4889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-“-</w:t>
                  </w:r>
                </w:p>
              </w:tc>
              <w:tc>
                <w:tcPr>
                  <w:tcW w:w="71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017C7F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1, 6</w:t>
                  </w:r>
                </w:p>
                <w:p w14:paraId="0911F972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9354170" w14:textId="77777777" w:rsidR="009E143B" w:rsidRDefault="009E1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2081" w14:textId="77777777" w:rsidR="009E143B" w:rsidRDefault="009E143B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f5"/>
              <w:tblW w:w="679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795"/>
            </w:tblGrid>
            <w:tr w:rsidR="009E143B" w14:paraId="6B540043" w14:textId="77777777">
              <w:trPr>
                <w:trHeight w:val="1850"/>
              </w:trPr>
              <w:tc>
                <w:tcPr>
                  <w:tcW w:w="6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17E541" w14:textId="77777777" w:rsidR="009E143B" w:rsidRDefault="008867E3">
                  <w:pPr>
                    <w:shd w:val="clear" w:color="auto" w:fill="FFFFFF"/>
                    <w:spacing w:before="160" w:after="320" w:line="240" w:lineRule="auto"/>
                    <w:ind w:left="29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Додаток</w:t>
                  </w:r>
                  <w:proofErr w:type="spellEnd"/>
                </w:p>
                <w:p w14:paraId="6CC2DA22" w14:textId="77777777" w:rsidR="009E143B" w:rsidRDefault="008867E3">
                  <w:pPr>
                    <w:shd w:val="clear" w:color="auto" w:fill="FFFFFF"/>
                    <w:spacing w:before="160" w:after="320" w:line="240" w:lineRule="auto"/>
                    <w:ind w:left="29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розпорядження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Кабінету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Міністрів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</w:p>
                <w:p w14:paraId="0A373D4C" w14:textId="77777777" w:rsidR="009E143B" w:rsidRDefault="008867E3">
                  <w:pPr>
                    <w:shd w:val="clear" w:color="auto" w:fill="FFFFFF"/>
                    <w:spacing w:before="160" w:after="320" w:line="240" w:lineRule="auto"/>
                    <w:ind w:left="29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16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травня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2014 р. № 523</w:t>
                  </w:r>
                </w:p>
                <w:p w14:paraId="0437324D" w14:textId="77777777" w:rsidR="009E143B" w:rsidRDefault="008867E3">
                  <w:pPr>
                    <w:shd w:val="clear" w:color="auto" w:fill="FFFFFF"/>
                    <w:spacing w:before="160" w:after="320" w:line="240" w:lineRule="auto"/>
                    <w:ind w:left="29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редакції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розпорядження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Кабінету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Міністрів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</w:p>
                <w:p w14:paraId="54917576" w14:textId="77777777" w:rsidR="009E143B" w:rsidRDefault="008867E3">
                  <w:pPr>
                    <w:shd w:val="clear" w:color="auto" w:fill="FFFFFF"/>
                    <w:spacing w:before="160" w:after="320" w:line="240" w:lineRule="auto"/>
                    <w:ind w:left="29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18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серпня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2021 р. № 969-р)</w:t>
                  </w:r>
                </w:p>
              </w:tc>
            </w:tr>
          </w:tbl>
          <w:p w14:paraId="109B06B9" w14:textId="77777777" w:rsidR="009E143B" w:rsidRDefault="008867E3">
            <w:pPr>
              <w:shd w:val="clear" w:color="auto" w:fill="FFFFFF"/>
              <w:spacing w:before="300" w:after="460" w:line="252" w:lineRule="auto"/>
              <w:ind w:left="460" w:right="4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</w:t>
            </w:r>
          </w:p>
          <w:p w14:paraId="265DAEC4" w14:textId="77777777" w:rsidR="009E143B" w:rsidRDefault="0088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виконавчої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надаються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органами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 порядку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делегованих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обов’язковими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через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центри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</w:t>
            </w:r>
            <w:proofErr w:type="spellEnd"/>
          </w:p>
          <w:tbl>
            <w:tblPr>
              <w:tblStyle w:val="af6"/>
              <w:tblW w:w="663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644"/>
              <w:gridCol w:w="1167"/>
              <w:gridCol w:w="2268"/>
              <w:gridCol w:w="1843"/>
              <w:gridCol w:w="713"/>
            </w:tblGrid>
            <w:tr w:rsidR="009E143B" w14:paraId="2695CCEF" w14:textId="77777777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065A95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№ з/п</w:t>
                  </w: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CE0DF9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Ідентифікатор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FAEF6F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Найменування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адміністративної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послуги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C05755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Правові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підстави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надання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адміністративної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послуги</w:t>
                  </w:r>
                  <w:proofErr w:type="spellEnd"/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E321D5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lastRenderedPageBreak/>
                    <w:t>Примітка</w:t>
                  </w:r>
                  <w:proofErr w:type="spellEnd"/>
                </w:p>
              </w:tc>
            </w:tr>
            <w:tr w:rsidR="009E143B" w14:paraId="76BC5B9D" w14:textId="77777777">
              <w:tc>
                <w:tcPr>
                  <w:tcW w:w="645" w:type="dxa"/>
                  <w:tcBorders>
                    <w:top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E3BDAC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F048F3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2B6778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Пункт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виключити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2D5497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12F135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55BC49BA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137C50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6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94E0A8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2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7B4D79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C57D686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0CDBC07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FB34138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2AD9D1AB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14D5C2D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FD5CFAA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88C71C5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EF55CB5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5F26E8D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087CA79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46F6717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D29CBF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D4187E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165B6438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654800" w14:textId="68D6B1FF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4EA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29</w:t>
                  </w:r>
                  <w:r w:rsidR="00D94EAB" w:rsidRPr="00D94EA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6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880343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00034</w:t>
                  </w:r>
                </w:p>
              </w:tc>
              <w:tc>
                <w:tcPr>
                  <w:tcW w:w="22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F20452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Реєстрація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проживання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9C959A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Закон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України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«Про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надання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публічних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електронних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публічних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щодо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декларування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реєстрації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проживання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Україні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71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2430A6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1, 6</w:t>
                  </w:r>
                </w:p>
                <w:p w14:paraId="136B4C50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62657E6D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2072F0" w14:textId="7501582F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4EA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29</w:t>
                  </w:r>
                  <w:r w:rsidR="00D94EAB" w:rsidRPr="00D94EA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6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E63CAD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01217</w:t>
                  </w:r>
                </w:p>
              </w:tc>
              <w:tc>
                <w:tcPr>
                  <w:tcW w:w="22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B28A5F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Реєстрація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проживання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дитини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14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років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7329F8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-“-</w:t>
                  </w:r>
                </w:p>
              </w:tc>
              <w:tc>
                <w:tcPr>
                  <w:tcW w:w="71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1DBF34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1, 6</w:t>
                  </w:r>
                </w:p>
                <w:p w14:paraId="323CD288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4B9C64C6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AFFF53" w14:textId="6BC31219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4EA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29</w:t>
                  </w:r>
                  <w:r w:rsidR="00D94EAB" w:rsidRPr="00D94EA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6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E30A49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00037</w:t>
                  </w:r>
                </w:p>
              </w:tc>
              <w:tc>
                <w:tcPr>
                  <w:tcW w:w="22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0E8B61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Зняття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задекларованого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зареєстрованого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проживання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05E1A1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-“-</w:t>
                  </w:r>
                </w:p>
              </w:tc>
              <w:tc>
                <w:tcPr>
                  <w:tcW w:w="71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ADABB6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1, 6</w:t>
                  </w:r>
                </w:p>
                <w:p w14:paraId="5FA1573B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2BEECDAA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D2E0D0" w14:textId="16AA7C07" w:rsidR="009E143B" w:rsidRPr="00D94EAB" w:rsidRDefault="00D94E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D94E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298</w:t>
                  </w:r>
                </w:p>
              </w:tc>
              <w:tc>
                <w:tcPr>
                  <w:tcW w:w="116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076015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FDDB46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Пункт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виключити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D1D781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457037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027B3DE3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54CAE1" w14:textId="2B20FD61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4EA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29</w:t>
                  </w:r>
                  <w:r w:rsidR="00D94EAB" w:rsidRPr="00D94EA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6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F7BE3A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00040</w:t>
                  </w:r>
                </w:p>
              </w:tc>
              <w:tc>
                <w:tcPr>
                  <w:tcW w:w="22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49A285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Реєстрація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місця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перебування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ECA4EE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-“-</w:t>
                  </w:r>
                </w:p>
              </w:tc>
              <w:tc>
                <w:tcPr>
                  <w:tcW w:w="71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80056C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1, 6</w:t>
                  </w:r>
                </w:p>
                <w:p w14:paraId="5F5CB43C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143B" w14:paraId="40ABE8C1" w14:textId="77777777">
              <w:tc>
                <w:tcPr>
                  <w:tcW w:w="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01EA02" w14:textId="267FBAE8" w:rsidR="009E143B" w:rsidRDefault="00D94E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4EA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300</w:t>
                  </w:r>
                  <w:r w:rsidR="008867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6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7B1F93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00038</w:t>
                  </w:r>
                </w:p>
              </w:tc>
              <w:tc>
                <w:tcPr>
                  <w:tcW w:w="22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773ADE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Видача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витягу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реєстру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територіальної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громади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1A4924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60" w:after="1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-“-</w:t>
                  </w:r>
                </w:p>
              </w:tc>
              <w:tc>
                <w:tcPr>
                  <w:tcW w:w="71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74B288" w14:textId="77777777" w:rsidR="009E143B" w:rsidRDefault="008867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1, 6</w:t>
                  </w:r>
                </w:p>
                <w:p w14:paraId="4AF1FE0C" w14:textId="77777777" w:rsidR="009E143B" w:rsidRDefault="009E14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E0CF827" w14:textId="77777777" w:rsidR="009E143B" w:rsidRDefault="009E1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ind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4634744" w14:textId="77777777" w:rsidR="009E143B" w:rsidRDefault="008867E3">
      <w:r>
        <w:lastRenderedPageBreak/>
        <w:t xml:space="preserve"> </w:t>
      </w:r>
    </w:p>
    <w:p w14:paraId="3DA45A87" w14:textId="7C44F4F0" w:rsidR="00EF4395" w:rsidRDefault="00EF4395"/>
    <w:p w14:paraId="04FE034C" w14:textId="59438EAC" w:rsidR="00EF4395" w:rsidRPr="00EF4395" w:rsidRDefault="00EF4395" w:rsidP="00EF4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EF4395">
        <w:rPr>
          <w:rFonts w:ascii="TimesNewRomanPS" w:eastAsia="Times New Roman" w:hAnsi="TimesNewRomanPS" w:cs="Times New Roman"/>
          <w:b/>
          <w:bCs/>
          <w:sz w:val="28"/>
          <w:szCs w:val="28"/>
          <w:lang w:val="ru-UA"/>
        </w:rPr>
        <w:t>Віце-прем'єр-міністр України –</w:t>
      </w:r>
      <w:r w:rsidRPr="00EF4395">
        <w:rPr>
          <w:rFonts w:ascii="TimesNewRomanPS" w:eastAsia="Times New Roman" w:hAnsi="TimesNewRomanPS" w:cs="Times New Roman"/>
          <w:b/>
          <w:bCs/>
          <w:sz w:val="28"/>
          <w:szCs w:val="28"/>
          <w:lang w:val="ru-UA"/>
        </w:rPr>
        <w:br/>
        <w:t xml:space="preserve">Міністр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uk-UA"/>
        </w:rPr>
        <w:t>цифрової трансформації України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uk-UA"/>
        </w:rPr>
        <w:tab/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uk-UA"/>
        </w:rPr>
        <w:tab/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uk-UA"/>
        </w:rPr>
        <w:tab/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uk-UA"/>
        </w:rPr>
        <w:tab/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uk-UA"/>
        </w:rPr>
        <w:tab/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uk-UA"/>
        </w:rPr>
        <w:tab/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uk-UA"/>
        </w:rPr>
        <w:tab/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uk-UA"/>
        </w:rPr>
        <w:tab/>
        <w:t xml:space="preserve">     </w:t>
      </w:r>
      <w:r w:rsidRPr="00EF4395">
        <w:rPr>
          <w:rFonts w:ascii="TimesNewRomanPS" w:eastAsia="Times New Roman" w:hAnsi="TimesNewRomanPS" w:cs="Times New Roman"/>
          <w:b/>
          <w:bCs/>
          <w:sz w:val="28"/>
          <w:szCs w:val="28"/>
          <w:lang w:val="ru-UA"/>
        </w:rPr>
        <w:t xml:space="preserve">Михайло ФЕДОРОВ </w:t>
      </w:r>
    </w:p>
    <w:p w14:paraId="7C75862F" w14:textId="35DD471D" w:rsidR="00EF4395" w:rsidRPr="00EF4395" w:rsidRDefault="00EF4395" w:rsidP="00EF4395">
      <w:pPr>
        <w:rPr>
          <w:lang w:val="ru-UA"/>
        </w:rPr>
      </w:pPr>
    </w:p>
    <w:sectPr w:rsidR="00EF4395" w:rsidRPr="00EF4395" w:rsidSect="005F4624">
      <w:headerReference w:type="even" r:id="rId7"/>
      <w:headerReference w:type="default" r:id="rId8"/>
      <w:footerReference w:type="first" r:id="rId9"/>
      <w:pgSz w:w="16834" w:h="11909" w:orient="landscape"/>
      <w:pgMar w:top="1440" w:right="1440" w:bottom="1440" w:left="1440" w:header="720" w:footer="216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B39B" w14:textId="77777777" w:rsidR="001B053F" w:rsidRDefault="001B053F" w:rsidP="003F64EF">
      <w:pPr>
        <w:spacing w:line="240" w:lineRule="auto"/>
      </w:pPr>
      <w:r>
        <w:separator/>
      </w:r>
    </w:p>
  </w:endnote>
  <w:endnote w:type="continuationSeparator" w:id="0">
    <w:p w14:paraId="4752F022" w14:textId="77777777" w:rsidR="001B053F" w:rsidRDefault="001B053F" w:rsidP="003F6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128B" w14:textId="03734E22" w:rsidR="003736CD" w:rsidRPr="003736CD" w:rsidRDefault="003736CD">
    <w:pPr>
      <w:pStyle w:val="af9"/>
      <w:rPr>
        <w:lang w:val="uk-UA"/>
      </w:rPr>
    </w:pPr>
    <w:r>
      <w:rPr>
        <w:lang w:val="uk-U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3E17" w14:textId="77777777" w:rsidR="001B053F" w:rsidRDefault="001B053F" w:rsidP="003F64EF">
      <w:pPr>
        <w:spacing w:line="240" w:lineRule="auto"/>
      </w:pPr>
      <w:r>
        <w:separator/>
      </w:r>
    </w:p>
  </w:footnote>
  <w:footnote w:type="continuationSeparator" w:id="0">
    <w:p w14:paraId="695CD2E8" w14:textId="77777777" w:rsidR="001B053F" w:rsidRDefault="001B053F" w:rsidP="003F6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b"/>
      </w:rPr>
      <w:id w:val="1132678910"/>
      <w:docPartObj>
        <w:docPartGallery w:val="Page Numbers (Top of Page)"/>
        <w:docPartUnique/>
      </w:docPartObj>
    </w:sdtPr>
    <w:sdtEndPr>
      <w:rPr>
        <w:rStyle w:val="afb"/>
      </w:rPr>
    </w:sdtEndPr>
    <w:sdtContent>
      <w:p w14:paraId="74A1CBD3" w14:textId="129964EF" w:rsidR="003F64EF" w:rsidRDefault="003F64EF" w:rsidP="003C65C8">
        <w:pPr>
          <w:pStyle w:val="af7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54BFE0B4" w14:textId="77777777" w:rsidR="003F64EF" w:rsidRDefault="003F64E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b"/>
      </w:rPr>
      <w:id w:val="599222567"/>
      <w:docPartObj>
        <w:docPartGallery w:val="Page Numbers (Top of Page)"/>
        <w:docPartUnique/>
      </w:docPartObj>
    </w:sdtPr>
    <w:sdtEndPr>
      <w:rPr>
        <w:rStyle w:val="afb"/>
      </w:rPr>
    </w:sdtEndPr>
    <w:sdtContent>
      <w:p w14:paraId="55AEC5E7" w14:textId="7B932848" w:rsidR="003F64EF" w:rsidRDefault="003F64EF" w:rsidP="003C65C8">
        <w:pPr>
          <w:pStyle w:val="af7"/>
          <w:framePr w:wrap="none" w:vAnchor="text" w:hAnchor="margin" w:xAlign="center" w:y="1"/>
          <w:rPr>
            <w:rStyle w:val="afb"/>
          </w:rPr>
        </w:pPr>
        <w:r w:rsidRPr="003F64EF">
          <w:rPr>
            <w:rStyle w:val="afb"/>
            <w:rFonts w:ascii="Times New Roman" w:hAnsi="Times New Roman" w:cs="Times New Roman"/>
            <w:sz w:val="28"/>
            <w:szCs w:val="28"/>
          </w:rPr>
          <w:fldChar w:fldCharType="begin"/>
        </w:r>
        <w:r w:rsidRPr="003F64EF">
          <w:rPr>
            <w:rStyle w:val="afb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3F64EF">
          <w:rPr>
            <w:rStyle w:val="afb"/>
            <w:rFonts w:ascii="Times New Roman" w:hAnsi="Times New Roman" w:cs="Times New Roman"/>
            <w:sz w:val="28"/>
            <w:szCs w:val="28"/>
          </w:rPr>
          <w:fldChar w:fldCharType="separate"/>
        </w:r>
        <w:r w:rsidRPr="003F64EF">
          <w:rPr>
            <w:rStyle w:val="afb"/>
            <w:rFonts w:ascii="Times New Roman" w:hAnsi="Times New Roman" w:cs="Times New Roman"/>
            <w:noProof/>
            <w:sz w:val="28"/>
            <w:szCs w:val="28"/>
          </w:rPr>
          <w:t>2</w:t>
        </w:r>
        <w:r w:rsidRPr="003F64EF">
          <w:rPr>
            <w:rStyle w:val="afb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72AD5FC" w14:textId="77777777" w:rsidR="003F64EF" w:rsidRDefault="003F64EF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3B"/>
    <w:rsid w:val="001B053F"/>
    <w:rsid w:val="003736CD"/>
    <w:rsid w:val="0037528D"/>
    <w:rsid w:val="003F5ADF"/>
    <w:rsid w:val="003F64EF"/>
    <w:rsid w:val="005F4624"/>
    <w:rsid w:val="008867E3"/>
    <w:rsid w:val="009E143B"/>
    <w:rsid w:val="009E5BF8"/>
    <w:rsid w:val="00D94EAB"/>
    <w:rsid w:val="00E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7D5E7"/>
  <w15:docId w15:val="{537495F0-A5EF-3343-85BA-15B2BB34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366F8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6F81"/>
    <w:rPr>
      <w:rFonts w:ascii="Times New Roman" w:hAnsi="Times New Roman" w:cs="Times New Roman"/>
      <w:sz w:val="18"/>
      <w:szCs w:val="18"/>
    </w:rPr>
  </w:style>
  <w:style w:type="paragraph" w:styleId="ad">
    <w:name w:val="Normal (Web)"/>
    <w:basedOn w:val="a"/>
    <w:uiPriority w:val="99"/>
    <w:unhideWhenUsed/>
    <w:rsid w:val="0036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paragraph" w:customStyle="1" w:styleId="rvps12">
    <w:name w:val="rvps12"/>
    <w:basedOn w:val="a"/>
    <w:rsid w:val="0036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paragraph" w:customStyle="1" w:styleId="rvps14">
    <w:name w:val="rvps14"/>
    <w:basedOn w:val="a"/>
    <w:rsid w:val="0036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styleId="ae">
    <w:name w:val="Hyperlink"/>
    <w:basedOn w:val="a0"/>
    <w:uiPriority w:val="99"/>
    <w:semiHidden/>
    <w:unhideWhenUsed/>
    <w:rsid w:val="0085577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55779"/>
    <w:rPr>
      <w:color w:val="800080" w:themeColor="followedHyperlink"/>
      <w:u w:val="single"/>
    </w:r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header"/>
    <w:basedOn w:val="a"/>
    <w:link w:val="af8"/>
    <w:uiPriority w:val="99"/>
    <w:unhideWhenUsed/>
    <w:rsid w:val="003F64EF"/>
    <w:pPr>
      <w:tabs>
        <w:tab w:val="center" w:pos="4513"/>
        <w:tab w:val="right" w:pos="9026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F64EF"/>
  </w:style>
  <w:style w:type="paragraph" w:styleId="af9">
    <w:name w:val="footer"/>
    <w:basedOn w:val="a"/>
    <w:link w:val="afa"/>
    <w:uiPriority w:val="99"/>
    <w:unhideWhenUsed/>
    <w:rsid w:val="003F64EF"/>
    <w:pPr>
      <w:tabs>
        <w:tab w:val="center" w:pos="4513"/>
        <w:tab w:val="right" w:pos="9026"/>
      </w:tabs>
      <w:spacing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F64EF"/>
  </w:style>
  <w:style w:type="character" w:styleId="afb">
    <w:name w:val="page number"/>
    <w:basedOn w:val="a0"/>
    <w:uiPriority w:val="99"/>
    <w:semiHidden/>
    <w:unhideWhenUsed/>
    <w:rsid w:val="003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bgUVq/TlD3p5TfFRfLM0x0oJsQ==">AMUW2mUixF1Z2eQmktkoJUZSkE1mwMF8fceIpfoDW4h5v55tjieighQHW/VNuNuJPMGD9RdkqUEjUwYTR2Zai+QgLTka+IsfeiILqBe9U9t1H26V3S6+7VQ=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2564</Words>
  <Characters>14617</Characters>
  <Application>Microsoft Office Word</Application>
  <DocSecurity>0</DocSecurity>
  <Lines>121</Lines>
  <Paragraphs>34</Paragraphs>
  <ScaleCrop>false</ScaleCrop>
  <Company/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Сердюков Олександр</cp:lastModifiedBy>
  <cp:revision>6</cp:revision>
  <dcterms:created xsi:type="dcterms:W3CDTF">2021-12-22T09:13:00Z</dcterms:created>
  <dcterms:modified xsi:type="dcterms:W3CDTF">2022-01-19T08:53:00Z</dcterms:modified>
</cp:coreProperties>
</file>