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d"/>
        <w:tblW w:w="9854" w:type="dxa"/>
        <w:tblInd w:w="0" w:type="dxa"/>
        <w:tblLayout w:type="fixed"/>
        <w:tblLook w:val="0000" w:firstRow="0" w:lastRow="0" w:firstColumn="0" w:lastColumn="0" w:noHBand="0" w:noVBand="0"/>
      </w:tblPr>
      <w:tblGrid>
        <w:gridCol w:w="4927"/>
        <w:gridCol w:w="4927"/>
      </w:tblGrid>
      <w:tr w:rsidR="00A268D5" w:rsidRPr="004012C8">
        <w:tc>
          <w:tcPr>
            <w:tcW w:w="4927" w:type="dxa"/>
          </w:tcPr>
          <w:p w:rsidR="00A268D5" w:rsidRPr="004012C8" w:rsidRDefault="00FA6A0C">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МІНІСТЕРСТВО ЦИФРОВОЇ ТРАНСФОРМАЦІЇ УКРАЇНИ</w:t>
            </w:r>
          </w:p>
        </w:tc>
        <w:tc>
          <w:tcPr>
            <w:tcW w:w="4927" w:type="dxa"/>
          </w:tcPr>
          <w:p w:rsidR="00A268D5" w:rsidRPr="004012C8" w:rsidRDefault="00FA6A0C">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АДМІНІСТРАЦІЯ ДЕРЖАВНОЇ СЛУЖБИ СПЕЦІАЛЬНОГО ЗВ</w:t>
            </w:r>
            <w:r w:rsidRPr="004012C8">
              <w:rPr>
                <w:rFonts w:ascii="Times New Roman" w:eastAsia="Times New Roman" w:hAnsi="Times New Roman" w:cs="Times New Roman"/>
                <w:sz w:val="28"/>
                <w:szCs w:val="28"/>
              </w:rPr>
              <w:t>’</w:t>
            </w:r>
            <w:r w:rsidRPr="004012C8">
              <w:rPr>
                <w:rFonts w:ascii="Times New Roman" w:eastAsia="Times New Roman" w:hAnsi="Times New Roman" w:cs="Times New Roman"/>
                <w:b/>
                <w:sz w:val="28"/>
                <w:szCs w:val="28"/>
              </w:rPr>
              <w:t>ЯЗКУ ТА ЗАХИСТУ ІНФОРМАЦІЇ УКРАЇНИ</w:t>
            </w:r>
          </w:p>
        </w:tc>
      </w:tr>
    </w:tbl>
    <w:p w:rsidR="00A268D5" w:rsidRPr="004012C8" w:rsidRDefault="00FA6A0C">
      <w:pPr>
        <w:widowControl w:val="0"/>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НАКАЗ</w:t>
      </w:r>
    </w:p>
    <w:p w:rsidR="00A268D5" w:rsidRPr="004012C8" w:rsidRDefault="00FA6A0C">
      <w:pPr>
        <w:widowControl w:val="0"/>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Київ</w:t>
      </w:r>
    </w:p>
    <w:p w:rsidR="00A268D5" w:rsidRPr="004012C8" w:rsidRDefault="00FA6A0C">
      <w:pPr>
        <w:widowControl w:val="0"/>
        <w:pBdr>
          <w:top w:val="nil"/>
          <w:left w:val="nil"/>
          <w:bottom w:val="nil"/>
          <w:right w:val="nil"/>
          <w:between w:val="nil"/>
        </w:pBdr>
        <w:tabs>
          <w:tab w:val="right" w:pos="9638"/>
        </w:tabs>
        <w:spacing w:line="240" w:lineRule="auto"/>
        <w:ind w:left="1" w:hanging="3"/>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від ___________ 20___ р.</w:t>
      </w:r>
      <w:r w:rsidRPr="004012C8">
        <w:rPr>
          <w:rFonts w:ascii="Times New Roman" w:eastAsia="Times New Roman" w:hAnsi="Times New Roman" w:cs="Times New Roman"/>
          <w:sz w:val="28"/>
          <w:szCs w:val="28"/>
        </w:rPr>
        <w:tab/>
        <w:t>№ _________________</w:t>
      </w:r>
    </w:p>
    <w:p w:rsidR="00A268D5" w:rsidRPr="004012C8" w:rsidRDefault="00A268D5">
      <w:pPr>
        <w:widowControl w:val="0"/>
        <w:pBdr>
          <w:top w:val="nil"/>
          <w:left w:val="nil"/>
          <w:bottom w:val="nil"/>
          <w:right w:val="nil"/>
          <w:between w:val="nil"/>
        </w:pBdr>
        <w:tabs>
          <w:tab w:val="right" w:pos="9638"/>
        </w:tabs>
        <w:spacing w:line="240" w:lineRule="auto"/>
        <w:ind w:left="1" w:hanging="3"/>
        <w:rPr>
          <w:rFonts w:ascii="Times New Roman" w:eastAsia="Times New Roman" w:hAnsi="Times New Roman" w:cs="Times New Roman"/>
          <w:sz w:val="28"/>
          <w:szCs w:val="28"/>
        </w:rPr>
      </w:pPr>
    </w:p>
    <w:p w:rsidR="00A268D5" w:rsidRPr="004012C8" w:rsidRDefault="00FA6A0C">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r w:rsidRPr="004012C8">
        <w:rPr>
          <w:rFonts w:ascii="Times New Roman" w:eastAsia="Times New Roman" w:hAnsi="Times New Roman" w:cs="Times New Roman"/>
          <w:b/>
          <w:sz w:val="28"/>
          <w:szCs w:val="28"/>
        </w:rPr>
        <w:t>Про внесення змін до наказу Міністерства цифрової трансформації України, Адміністрації Державної служби спеціального зв’язку та захисту інформації України від 30 вересня 2020 року № 140/614</w:t>
      </w:r>
    </w:p>
    <w:p w:rsidR="00A268D5" w:rsidRPr="004012C8" w:rsidRDefault="00A268D5">
      <w:pPr>
        <w:pBdr>
          <w:top w:val="nil"/>
          <w:left w:val="nil"/>
          <w:bottom w:val="nil"/>
          <w:right w:val="nil"/>
          <w:between w:val="nil"/>
        </w:pBdr>
        <w:spacing w:line="240" w:lineRule="auto"/>
        <w:ind w:left="1" w:hanging="3"/>
        <w:jc w:val="center"/>
        <w:rPr>
          <w:rFonts w:ascii="Times New Roman" w:eastAsia="Times New Roman" w:hAnsi="Times New Roman" w:cs="Times New Roman"/>
          <w:b/>
          <w:sz w:val="28"/>
          <w:szCs w:val="28"/>
        </w:rPr>
      </w:pP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Відповідно до частини другої статті 7, частини другої статті 8 Закону України “Про електронні довірчі послуги”, абзацу другого пункту 73 вимог у сфері електронних довірчих послуг, затверджених постановою Кабінету Міністрів України від 07 листопада 2018 року № 992, пунктів 4, 8, 10 Положення про Міністерство цифрової трансформації України, затвердженого постановою Кабінету Міністрів України від 18 вересня 2019 року № 856, пунктів 4, 10, 12 Положення про Адміністрацію Державної служби спеціального зв’язку та захисту інформації України, затвердженого постановою Кабінету Міністрів України від 03 вересня 2014 року № 411, з метою забезпечення інтероперабельності та технологічної нейтральності національних технічних рішень, а також недопущення їх дискримінації</w:t>
      </w:r>
    </w:p>
    <w:p w:rsidR="00A268D5" w:rsidRPr="004012C8" w:rsidRDefault="00FA6A0C" w:rsidP="004012C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НАКАЗУЄМО</w:t>
      </w:r>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1. Внести до наказу Міністерства цифрової трансформації України, Адміністрації Державної служби спеціального зв’язку та захисту інформації України від 30 вересня 2020 року № 140/614 “Про встановлення вимог до технічних засобів, процесів їх створення, використання та функціонування у складі інформаційно-телекомунікаційних систем під час надання кваліфікованих електронних довірчих послуг”, зареєстрованого в Міністерстві юстиції України 22 жовтня 2020 року за № 1039/35322, такі зміни:</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1) після пункту 3 доповнити новими пунктами такого змісту: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“4. Міністерству цифрової трансформації України з метою виконання функцій центрального засвідчувального органу, забезпечення інтероперабельності та технологічної нейтральності національних технічних </w:t>
      </w:r>
      <w:r w:rsidRPr="004012C8">
        <w:rPr>
          <w:rFonts w:ascii="Times New Roman" w:eastAsia="Times New Roman" w:hAnsi="Times New Roman" w:cs="Times New Roman"/>
          <w:sz w:val="28"/>
          <w:szCs w:val="28"/>
        </w:rPr>
        <w:lastRenderedPageBreak/>
        <w:t xml:space="preserve">рішень у сфері електронних довірчих послуг, а також недопущення їх дискримінації, взаємного визнання українських та іноземних сертифікатів відкритих ключів та електронних підписів, що використовуються під час надання юридично значущих електронних послуг, забезпечити функціонування програмно-технічного комплексу центрального засвідчувального органу та захисту інформації, що в ньому обробляється, відповідно до вимог законодавства, шляхом впровадження на офіційному </w:t>
      </w:r>
      <w:proofErr w:type="spellStart"/>
      <w:r w:rsidRPr="004012C8">
        <w:rPr>
          <w:rFonts w:ascii="Times New Roman" w:eastAsia="Times New Roman" w:hAnsi="Times New Roman" w:cs="Times New Roman"/>
          <w:sz w:val="28"/>
          <w:szCs w:val="28"/>
        </w:rPr>
        <w:t>вебсайті</w:t>
      </w:r>
      <w:proofErr w:type="spellEnd"/>
      <w:r w:rsidRPr="004012C8">
        <w:rPr>
          <w:rFonts w:ascii="Times New Roman" w:eastAsia="Times New Roman" w:hAnsi="Times New Roman" w:cs="Times New Roman"/>
          <w:sz w:val="28"/>
          <w:szCs w:val="28"/>
        </w:rPr>
        <w:t xml:space="preserve"> центрального засвідчувального органу: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1) програмного забезпечення для створення та перевірки уніфікованих форматів удосконалених електронних підписів (</w:t>
      </w:r>
      <w:proofErr w:type="spellStart"/>
      <w:r w:rsidRPr="004012C8">
        <w:rPr>
          <w:rFonts w:ascii="Times New Roman" w:eastAsia="Times New Roman" w:hAnsi="Times New Roman" w:cs="Times New Roman"/>
          <w:sz w:val="28"/>
          <w:szCs w:val="28"/>
        </w:rPr>
        <w:t>CAdES</w:t>
      </w:r>
      <w:proofErr w:type="spellEnd"/>
      <w:r w:rsidRPr="004012C8">
        <w:rPr>
          <w:rFonts w:ascii="Times New Roman" w:eastAsia="Times New Roman" w:hAnsi="Times New Roman" w:cs="Times New Roman"/>
          <w:sz w:val="28"/>
          <w:szCs w:val="28"/>
        </w:rPr>
        <w:t xml:space="preserve">, </w:t>
      </w:r>
      <w:proofErr w:type="spellStart"/>
      <w:r w:rsidRPr="004012C8">
        <w:rPr>
          <w:rFonts w:ascii="Times New Roman" w:eastAsia="Times New Roman" w:hAnsi="Times New Roman" w:cs="Times New Roman"/>
          <w:sz w:val="28"/>
          <w:szCs w:val="28"/>
        </w:rPr>
        <w:t>PAdES</w:t>
      </w:r>
      <w:proofErr w:type="spellEnd"/>
      <w:r w:rsidRPr="004012C8">
        <w:rPr>
          <w:rFonts w:ascii="Times New Roman" w:eastAsia="Times New Roman" w:hAnsi="Times New Roman" w:cs="Times New Roman"/>
          <w:sz w:val="28"/>
          <w:szCs w:val="28"/>
        </w:rPr>
        <w:t xml:space="preserve">, </w:t>
      </w:r>
      <w:proofErr w:type="spellStart"/>
      <w:r w:rsidRPr="004012C8">
        <w:rPr>
          <w:rFonts w:ascii="Times New Roman" w:eastAsia="Times New Roman" w:hAnsi="Times New Roman" w:cs="Times New Roman"/>
          <w:sz w:val="28"/>
          <w:szCs w:val="28"/>
        </w:rPr>
        <w:t>XAdES</w:t>
      </w:r>
      <w:proofErr w:type="spellEnd"/>
      <w:r w:rsidRPr="004012C8">
        <w:rPr>
          <w:rFonts w:ascii="Times New Roman" w:eastAsia="Times New Roman" w:hAnsi="Times New Roman" w:cs="Times New Roman"/>
          <w:sz w:val="28"/>
          <w:szCs w:val="28"/>
        </w:rPr>
        <w:t>), а також контейнерів електронних документів (</w:t>
      </w:r>
      <w:proofErr w:type="spellStart"/>
      <w:r w:rsidRPr="004012C8">
        <w:rPr>
          <w:rFonts w:ascii="Times New Roman" w:eastAsia="Times New Roman" w:hAnsi="Times New Roman" w:cs="Times New Roman"/>
          <w:sz w:val="28"/>
          <w:szCs w:val="28"/>
        </w:rPr>
        <w:t>ASiC</w:t>
      </w:r>
      <w:proofErr w:type="spellEnd"/>
      <w:r w:rsidRPr="004012C8">
        <w:rPr>
          <w:rFonts w:ascii="Times New Roman" w:eastAsia="Times New Roman" w:hAnsi="Times New Roman" w:cs="Times New Roman"/>
          <w:sz w:val="28"/>
          <w:szCs w:val="28"/>
        </w:rPr>
        <w:t>), що відповідають вимогам національних стандартів, визначених у пунктах 11-23 Переліку (далі – інструмент створення та перевірки удосконалених електронних підписів).</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Функціонал інструменту створення та перевірки удосконалених електронних підписів забезпечує:</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створення контейнерів електронних документів (</w:t>
      </w:r>
      <w:proofErr w:type="spellStart"/>
      <w:r w:rsidRPr="004012C8">
        <w:rPr>
          <w:rFonts w:ascii="Times New Roman" w:eastAsia="Times New Roman" w:hAnsi="Times New Roman" w:cs="Times New Roman"/>
          <w:sz w:val="28"/>
          <w:szCs w:val="28"/>
        </w:rPr>
        <w:t>ASiC</w:t>
      </w:r>
      <w:proofErr w:type="spellEnd"/>
      <w:r w:rsidRPr="004012C8">
        <w:rPr>
          <w:rFonts w:ascii="Times New Roman" w:eastAsia="Times New Roman" w:hAnsi="Times New Roman" w:cs="Times New Roman"/>
          <w:sz w:val="28"/>
          <w:szCs w:val="28"/>
        </w:rPr>
        <w:t>), перевірку електронних документів, створених у результаті побудови контейнерів електронних документів (</w:t>
      </w:r>
      <w:proofErr w:type="spellStart"/>
      <w:r w:rsidRPr="004012C8">
        <w:rPr>
          <w:rFonts w:ascii="Times New Roman" w:eastAsia="Times New Roman" w:hAnsi="Times New Roman" w:cs="Times New Roman"/>
          <w:sz w:val="28"/>
          <w:szCs w:val="28"/>
        </w:rPr>
        <w:t>ASiC</w:t>
      </w:r>
      <w:proofErr w:type="spellEnd"/>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створення та перевірку удосконаленого електронного підпису </w:t>
      </w:r>
      <w:proofErr w:type="spellStart"/>
      <w:r w:rsidRPr="004012C8">
        <w:rPr>
          <w:rFonts w:ascii="Times New Roman" w:eastAsia="Times New Roman" w:hAnsi="Times New Roman" w:cs="Times New Roman"/>
          <w:sz w:val="28"/>
          <w:szCs w:val="28"/>
        </w:rPr>
        <w:t>CAdES</w:t>
      </w:r>
      <w:proofErr w:type="spellEnd"/>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створення та перевірку удосконаленого електронного підпису </w:t>
      </w:r>
      <w:proofErr w:type="spellStart"/>
      <w:r w:rsidRPr="004012C8">
        <w:rPr>
          <w:rFonts w:ascii="Times New Roman" w:eastAsia="Times New Roman" w:hAnsi="Times New Roman" w:cs="Times New Roman"/>
          <w:sz w:val="28"/>
          <w:szCs w:val="28"/>
        </w:rPr>
        <w:t>PAdES</w:t>
      </w:r>
      <w:proofErr w:type="spellEnd"/>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створення та перевірку удосконаленого електронного підпису </w:t>
      </w:r>
      <w:proofErr w:type="spellStart"/>
      <w:r w:rsidRPr="004012C8">
        <w:rPr>
          <w:rFonts w:ascii="Times New Roman" w:eastAsia="Times New Roman" w:hAnsi="Times New Roman" w:cs="Times New Roman"/>
          <w:sz w:val="28"/>
          <w:szCs w:val="28"/>
        </w:rPr>
        <w:t>XAdES</w:t>
      </w:r>
      <w:proofErr w:type="spellEnd"/>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інтеграції технічних рішень з інформаційно-телекомунікаційною системою центрального засвідчувального органу, інтегрованою системою електронної ідентифікації та іншими інформаційно-телекомунікаційними системами;</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2) програмного забезпечення системи моніторингу надання та використання електронних довірчих послуг, що сприятиме підвищенню рівня безпеки електронних довірчих послуг та інтероперабельності технічних засобів, які підпадають під дію вимог цього наказу (далі – інструмент моніторингу сфери електронних довірчих послуг).</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Функціонал інструменту моніторингу сфери електронних довірчих послуг забезпечує:</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розповсюдження та своєчасне оновлення кваліфікованих сертифікатів відкритих ключів центрального засвідчувального органу та кваліфікованих надавачів електронних довірчих послуг в інформаційно-телекомунікаційних системах користувачів електронних довірчих послуг;</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подання повідомлень про зміни в Довірчому списку та заяв на отримання електронних довірчих послуг від центрального засвідчувального органу;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lastRenderedPageBreak/>
        <w:t xml:space="preserve">обмін тестовими прикладами для перевірки правильності реалізації форматів, протоколів та інтерфейсів технічних засобів, які підпадають під дію вимог цього наказу, між кваліфікованими надавачами електронних довірчих послуг та розробниками таких технічних засобів (зокрема, інтеграція з тестовим програмно-технічним комплексом, створеним на офіційному </w:t>
      </w:r>
      <w:proofErr w:type="spellStart"/>
      <w:r w:rsidRPr="004012C8">
        <w:rPr>
          <w:rFonts w:ascii="Times New Roman" w:eastAsia="Times New Roman" w:hAnsi="Times New Roman" w:cs="Times New Roman"/>
          <w:sz w:val="28"/>
          <w:szCs w:val="28"/>
        </w:rPr>
        <w:t>вебсайті</w:t>
      </w:r>
      <w:proofErr w:type="spellEnd"/>
      <w:r w:rsidRPr="004012C8">
        <w:rPr>
          <w:rFonts w:ascii="Times New Roman" w:eastAsia="Times New Roman" w:hAnsi="Times New Roman" w:cs="Times New Roman"/>
          <w:sz w:val="28"/>
          <w:szCs w:val="28"/>
        </w:rPr>
        <w:t xml:space="preserve"> центрального засвідчувального органу, для формування тестових сертифікатів відкритих ключів);</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автоматизований обмін статистичними даними щодо надання електронних довірчих послуг, в тому числі, пов'язаними з формуванням електронних позначок часу та тестових сертифікатів відкритих ключів, між кваліфікованими надавачами електронних довірчих послуг та центральним засвідчувальним органом;</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моніторинг у режимі реального часу чинних кваліфікованих сертифікатів відкритих ключів користувачів електронних довірчих послуг за відповідними даними (атрибутами), що містяться в таких кваліфікованих сертифікатах, сформованих для підписувачів або створювачів електронних печаток; </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запобігання формуванню кваліфікованими надавачами електронних довірчих послуг нових кваліфікованих сертифікатів відкритих ключів за запитами на формування таких сертифікатів, які вже були оброблені раніше.</w:t>
      </w:r>
    </w:p>
    <w:p w:rsidR="00A268D5" w:rsidRPr="004012C8" w:rsidRDefault="00D45A56"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5</w:t>
      </w:r>
      <w:r w:rsidR="00FA6A0C" w:rsidRPr="004012C8">
        <w:rPr>
          <w:rFonts w:ascii="Times New Roman" w:eastAsia="Times New Roman" w:hAnsi="Times New Roman" w:cs="Times New Roman"/>
          <w:sz w:val="28"/>
          <w:szCs w:val="28"/>
        </w:rPr>
        <w:t xml:space="preserve">. </w:t>
      </w:r>
      <w:r w:rsidR="00B90E23" w:rsidRPr="004012C8">
        <w:rPr>
          <w:rFonts w:ascii="Times New Roman" w:eastAsia="Times New Roman" w:hAnsi="Times New Roman" w:cs="Times New Roman"/>
          <w:sz w:val="28"/>
          <w:szCs w:val="28"/>
        </w:rPr>
        <w:t>З метою забезпечення інтероперабельності та технологічної нейтральності національних технічних рішень використову</w:t>
      </w:r>
      <w:r w:rsidR="004012C8" w:rsidRPr="004012C8">
        <w:rPr>
          <w:rFonts w:ascii="Times New Roman" w:eastAsia="Times New Roman" w:hAnsi="Times New Roman" w:cs="Times New Roman"/>
          <w:sz w:val="28"/>
          <w:szCs w:val="28"/>
        </w:rPr>
        <w:t>ються</w:t>
      </w:r>
      <w:r w:rsidR="00B90E23" w:rsidRPr="004012C8">
        <w:rPr>
          <w:rFonts w:ascii="Times New Roman" w:eastAsia="Times New Roman" w:hAnsi="Times New Roman" w:cs="Times New Roman"/>
          <w:sz w:val="28"/>
          <w:szCs w:val="28"/>
        </w:rPr>
        <w:t xml:space="preserve"> </w:t>
      </w:r>
      <w:r w:rsidR="00FA6A0C" w:rsidRPr="004012C8">
        <w:rPr>
          <w:rFonts w:ascii="Times New Roman" w:eastAsia="Times New Roman" w:hAnsi="Times New Roman" w:cs="Times New Roman"/>
          <w:sz w:val="28"/>
          <w:szCs w:val="28"/>
        </w:rPr>
        <w:t>тестов</w:t>
      </w:r>
      <w:r w:rsidR="00B90E23" w:rsidRPr="004012C8">
        <w:rPr>
          <w:rFonts w:ascii="Times New Roman" w:eastAsia="Times New Roman" w:hAnsi="Times New Roman" w:cs="Times New Roman"/>
          <w:sz w:val="28"/>
          <w:szCs w:val="28"/>
        </w:rPr>
        <w:t>і</w:t>
      </w:r>
      <w:r w:rsidR="00FA6A0C" w:rsidRPr="004012C8">
        <w:rPr>
          <w:rFonts w:ascii="Times New Roman" w:eastAsia="Times New Roman" w:hAnsi="Times New Roman" w:cs="Times New Roman"/>
          <w:sz w:val="28"/>
          <w:szCs w:val="28"/>
        </w:rPr>
        <w:t xml:space="preserve"> сертифікат</w:t>
      </w:r>
      <w:r w:rsidR="00B90E23" w:rsidRPr="004012C8">
        <w:rPr>
          <w:rFonts w:ascii="Times New Roman" w:eastAsia="Times New Roman" w:hAnsi="Times New Roman" w:cs="Times New Roman"/>
          <w:sz w:val="28"/>
          <w:szCs w:val="28"/>
        </w:rPr>
        <w:t>и</w:t>
      </w:r>
      <w:r w:rsidR="00FA6A0C" w:rsidRPr="004012C8">
        <w:rPr>
          <w:rFonts w:ascii="Times New Roman" w:eastAsia="Times New Roman" w:hAnsi="Times New Roman" w:cs="Times New Roman"/>
          <w:sz w:val="28"/>
          <w:szCs w:val="28"/>
        </w:rPr>
        <w:t xml:space="preserve"> відкритих ключів</w:t>
      </w:r>
      <w:r w:rsidR="00B90E23" w:rsidRPr="004012C8">
        <w:rPr>
          <w:rFonts w:ascii="Times New Roman" w:eastAsia="Times New Roman" w:hAnsi="Times New Roman" w:cs="Times New Roman"/>
          <w:sz w:val="28"/>
          <w:szCs w:val="28"/>
        </w:rPr>
        <w:t>, призначені для перевірки правильності реалізації форматів, протоколів та інтерфейсів у засобах електронного підпису чи печатки, програмно-технічних комплексах, а також інформаційних та інформаційно-телекомунікаційних системах</w:t>
      </w:r>
      <w:r w:rsidR="00FA6A0C"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trike/>
          <w:sz w:val="28"/>
          <w:szCs w:val="28"/>
        </w:rPr>
      </w:pPr>
      <w:r w:rsidRPr="004012C8">
        <w:rPr>
          <w:rFonts w:ascii="Times New Roman" w:eastAsia="Times New Roman" w:hAnsi="Times New Roman" w:cs="Times New Roman"/>
          <w:sz w:val="28"/>
          <w:szCs w:val="28"/>
        </w:rPr>
        <w:t>Формування тестових сертифікатів відкритих ключів здійснюється з дотриманням вимог підпункту 6.9.2 пункту 6.9 розділу 6 національного стандарту ДСТУ ETSI EN 319 411-1:2019 (ETSI EN 319 411-1 V1.2.2 (2018–04), IDT) “Електронні підписи та інфраструктури (ESI). Вимоги щодо політики та безпеки для надавачів довірчих послуг, які видають сертифікати. Частина 1. Загальні вимоги”, затвердженого наказом державного підприємства “Український науково-дослідний і навчальний центр проблем стандартизації, сертифікації та якості” від 27 грудня 2019 року № 515, щодо наявності в такому сертифікаті позначки про те, що він виданий як тестовий сертифікат відкритого ключа.</w:t>
      </w:r>
    </w:p>
    <w:p w:rsidR="00A268D5" w:rsidRPr="004012C8" w:rsidRDefault="00FA6A0C" w:rsidP="00B90E23">
      <w:pP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Власники та розпорядники інформаційних, телекомунікаційних та інформаційно-телекомунікаційних систем повинні вживати заходи для недопущення використання тестових сертифікатів відкритих ключів в таких інформаційних та інформаційно-телекомунікаційних системах не за призначенням.”.</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lastRenderedPageBreak/>
        <w:t xml:space="preserve">У зв’язку з цим пункти 4-9 вважати відповідно пунктами </w:t>
      </w:r>
      <w:r w:rsidR="00D45A56" w:rsidRPr="004012C8">
        <w:rPr>
          <w:rFonts w:ascii="Times New Roman" w:eastAsia="Times New Roman" w:hAnsi="Times New Roman" w:cs="Times New Roman"/>
          <w:sz w:val="28"/>
          <w:szCs w:val="28"/>
        </w:rPr>
        <w:t>6</w:t>
      </w:r>
      <w:r w:rsidRPr="004012C8">
        <w:rPr>
          <w:rFonts w:ascii="Times New Roman" w:eastAsia="Times New Roman" w:hAnsi="Times New Roman" w:cs="Times New Roman"/>
          <w:sz w:val="28"/>
          <w:szCs w:val="28"/>
        </w:rPr>
        <w:t>-1</w:t>
      </w:r>
      <w:r w:rsidR="00D45A56" w:rsidRPr="004012C8">
        <w:rPr>
          <w:rFonts w:ascii="Times New Roman" w:eastAsia="Times New Roman" w:hAnsi="Times New Roman" w:cs="Times New Roman"/>
          <w:sz w:val="28"/>
          <w:szCs w:val="28"/>
        </w:rPr>
        <w:t>1</w:t>
      </w:r>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2) підпункт 2 пункту </w:t>
      </w:r>
      <w:r w:rsidR="00D45A56" w:rsidRPr="004012C8">
        <w:rPr>
          <w:rFonts w:ascii="Times New Roman" w:eastAsia="Times New Roman" w:hAnsi="Times New Roman" w:cs="Times New Roman"/>
          <w:sz w:val="28"/>
          <w:szCs w:val="28"/>
        </w:rPr>
        <w:t>7</w:t>
      </w:r>
      <w:r w:rsidRPr="004012C8">
        <w:rPr>
          <w:rFonts w:ascii="Times New Roman" w:eastAsia="Times New Roman" w:hAnsi="Times New Roman" w:cs="Times New Roman"/>
          <w:sz w:val="28"/>
          <w:szCs w:val="28"/>
        </w:rPr>
        <w:t xml:space="preserve"> викласти в такій редакції:</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“2) створення на офіційному </w:t>
      </w:r>
      <w:proofErr w:type="spellStart"/>
      <w:r w:rsidRPr="004012C8">
        <w:rPr>
          <w:rFonts w:ascii="Times New Roman" w:eastAsia="Times New Roman" w:hAnsi="Times New Roman" w:cs="Times New Roman"/>
          <w:sz w:val="28"/>
          <w:szCs w:val="28"/>
        </w:rPr>
        <w:t>вебсайті</w:t>
      </w:r>
      <w:proofErr w:type="spellEnd"/>
      <w:r w:rsidRPr="004012C8">
        <w:rPr>
          <w:rFonts w:ascii="Times New Roman" w:eastAsia="Times New Roman" w:hAnsi="Times New Roman" w:cs="Times New Roman"/>
          <w:sz w:val="28"/>
          <w:szCs w:val="28"/>
        </w:rPr>
        <w:t xml:space="preserve"> центрального засвідчувального органу функціонала для оцінки внутрішньої та транскордонної технологічної сумісності технічних засобів, які підпадають під дію вимог цього наказу, та їх здатності взаємодіяти між собою шляхом запровадження та здійснення технічної підтримки до 01 січня 2022 року: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інструменту створення та перевірки удосконалених електронних підписів;</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інструменту моніторингу сфери електронних довірчих послуг.”.</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2. Директорату функціонального розвитку цифровізації Міністерства цифрової трансформації України (Халєєва А.П.) забезпечити подання цього наказу на державну реєстрацію до Міністерства юстиції України в установленому законодавством порядку.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3. Установити, що:</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1) тестові сертифікати відкритих ключів, сформовані до набрання чинності цим наказом, використовуються до закінчення строку їх чинності, але не пізніше 31 грудня 2021 року.</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 xml:space="preserve">2) з 01 січня 2022 року формування тестових сертифікатів відкритих ключів здійснюється в </w:t>
      </w:r>
      <w:r w:rsidR="00B90E23" w:rsidRPr="004012C8">
        <w:rPr>
          <w:rFonts w:ascii="Times New Roman" w:eastAsia="Times New Roman" w:hAnsi="Times New Roman" w:cs="Times New Roman"/>
          <w:sz w:val="28"/>
          <w:szCs w:val="28"/>
        </w:rPr>
        <w:t xml:space="preserve">тестових </w:t>
      </w:r>
      <w:r w:rsidRPr="004012C8">
        <w:rPr>
          <w:rFonts w:ascii="Times New Roman" w:eastAsia="Times New Roman" w:hAnsi="Times New Roman" w:cs="Times New Roman"/>
          <w:sz w:val="28"/>
          <w:szCs w:val="28"/>
        </w:rPr>
        <w:t>програмно-технічн</w:t>
      </w:r>
      <w:r w:rsidR="00B90E23" w:rsidRPr="004012C8">
        <w:rPr>
          <w:rFonts w:ascii="Times New Roman" w:eastAsia="Times New Roman" w:hAnsi="Times New Roman" w:cs="Times New Roman"/>
          <w:sz w:val="28"/>
          <w:szCs w:val="28"/>
        </w:rPr>
        <w:t>их комплексах</w:t>
      </w:r>
      <w:r w:rsidRPr="004012C8">
        <w:rPr>
          <w:rFonts w:ascii="Times New Roman" w:eastAsia="Times New Roman" w:hAnsi="Times New Roman" w:cs="Times New Roman"/>
          <w:sz w:val="28"/>
          <w:szCs w:val="28"/>
        </w:rPr>
        <w:t>,</w:t>
      </w:r>
      <w:r w:rsidR="00B90E23" w:rsidRPr="004012C8">
        <w:rPr>
          <w:rFonts w:ascii="Times New Roman" w:eastAsia="Times New Roman" w:hAnsi="Times New Roman" w:cs="Times New Roman"/>
          <w:sz w:val="28"/>
          <w:szCs w:val="28"/>
        </w:rPr>
        <w:t xml:space="preserve"> що інтегровані з тестовим програмно-технічним</w:t>
      </w:r>
      <w:r w:rsidRPr="004012C8">
        <w:rPr>
          <w:rFonts w:ascii="Times New Roman" w:eastAsia="Times New Roman" w:hAnsi="Times New Roman" w:cs="Times New Roman"/>
          <w:sz w:val="28"/>
          <w:szCs w:val="28"/>
        </w:rPr>
        <w:t xml:space="preserve"> </w:t>
      </w:r>
      <w:r w:rsidR="00B90E23" w:rsidRPr="004012C8">
        <w:rPr>
          <w:rFonts w:ascii="Times New Roman" w:eastAsia="Times New Roman" w:hAnsi="Times New Roman" w:cs="Times New Roman"/>
          <w:sz w:val="28"/>
          <w:szCs w:val="28"/>
        </w:rPr>
        <w:t xml:space="preserve">комплексом, </w:t>
      </w:r>
      <w:r w:rsidRPr="004012C8">
        <w:rPr>
          <w:rFonts w:ascii="Times New Roman" w:eastAsia="Times New Roman" w:hAnsi="Times New Roman" w:cs="Times New Roman"/>
          <w:sz w:val="28"/>
          <w:szCs w:val="28"/>
        </w:rPr>
        <w:t>створен</w:t>
      </w:r>
      <w:r w:rsidR="00B90E23" w:rsidRPr="004012C8">
        <w:rPr>
          <w:rFonts w:ascii="Times New Roman" w:eastAsia="Times New Roman" w:hAnsi="Times New Roman" w:cs="Times New Roman"/>
          <w:sz w:val="28"/>
          <w:szCs w:val="28"/>
        </w:rPr>
        <w:t>им</w:t>
      </w:r>
      <w:r w:rsidRPr="004012C8">
        <w:rPr>
          <w:rFonts w:ascii="Times New Roman" w:eastAsia="Times New Roman" w:hAnsi="Times New Roman" w:cs="Times New Roman"/>
          <w:sz w:val="28"/>
          <w:szCs w:val="28"/>
        </w:rPr>
        <w:t xml:space="preserve"> на офіційному </w:t>
      </w:r>
      <w:proofErr w:type="spellStart"/>
      <w:r w:rsidRPr="004012C8">
        <w:rPr>
          <w:rFonts w:ascii="Times New Roman" w:eastAsia="Times New Roman" w:hAnsi="Times New Roman" w:cs="Times New Roman"/>
          <w:sz w:val="28"/>
          <w:szCs w:val="28"/>
        </w:rPr>
        <w:t>вебсайті</w:t>
      </w:r>
      <w:proofErr w:type="spellEnd"/>
      <w:r w:rsidRPr="004012C8">
        <w:rPr>
          <w:rFonts w:ascii="Times New Roman" w:eastAsia="Times New Roman" w:hAnsi="Times New Roman" w:cs="Times New Roman"/>
          <w:sz w:val="28"/>
          <w:szCs w:val="28"/>
        </w:rPr>
        <w:t xml:space="preserve"> центрального засвідчувального органу</w:t>
      </w:r>
      <w:r w:rsidR="004012C8" w:rsidRPr="004012C8">
        <w:rPr>
          <w:rFonts w:ascii="Times New Roman" w:eastAsia="Times New Roman" w:hAnsi="Times New Roman" w:cs="Times New Roman"/>
          <w:sz w:val="28"/>
          <w:szCs w:val="28"/>
        </w:rPr>
        <w:t xml:space="preserve"> в рамках інструменту моніторингу </w:t>
      </w:r>
      <w:r w:rsidR="004012C8" w:rsidRPr="004012C8">
        <w:rPr>
          <w:rFonts w:ascii="Times New Roman" w:eastAsia="Times New Roman" w:hAnsi="Times New Roman" w:cs="Times New Roman"/>
          <w:sz w:val="28"/>
          <w:szCs w:val="28"/>
        </w:rPr>
        <w:t>сфери електронних довірчих послуг</w:t>
      </w:r>
      <w:r w:rsidRPr="004012C8">
        <w:rPr>
          <w:rFonts w:ascii="Times New Roman" w:eastAsia="Times New Roman" w:hAnsi="Times New Roman" w:cs="Times New Roman"/>
          <w:sz w:val="28"/>
          <w:szCs w:val="28"/>
        </w:rPr>
        <w:t>.</w:t>
      </w:r>
    </w:p>
    <w:p w:rsidR="00A268D5" w:rsidRPr="004012C8" w:rsidRDefault="00FA6A0C" w:rsidP="00B90E23">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4. Цей наказ набирає чинності з дня його офіційного опублікування.</w:t>
      </w:r>
    </w:p>
    <w:p w:rsidR="00A268D5" w:rsidRPr="004012C8" w:rsidRDefault="00FA6A0C" w:rsidP="004012C8">
      <w:pPr>
        <w:pBdr>
          <w:top w:val="nil"/>
          <w:left w:val="nil"/>
          <w:bottom w:val="nil"/>
          <w:right w:val="nil"/>
          <w:between w:val="nil"/>
        </w:pBdr>
        <w:spacing w:line="240" w:lineRule="auto"/>
        <w:ind w:leftChars="0" w:left="1" w:firstLineChars="252" w:firstLine="706"/>
        <w:jc w:val="both"/>
        <w:rPr>
          <w:rFonts w:ascii="Times New Roman" w:eastAsia="Times New Roman" w:hAnsi="Times New Roman" w:cs="Times New Roman"/>
          <w:sz w:val="28"/>
          <w:szCs w:val="28"/>
        </w:rPr>
      </w:pPr>
      <w:r w:rsidRPr="004012C8">
        <w:rPr>
          <w:rFonts w:ascii="Times New Roman" w:eastAsia="Times New Roman" w:hAnsi="Times New Roman" w:cs="Times New Roman"/>
          <w:sz w:val="28"/>
          <w:szCs w:val="28"/>
        </w:rPr>
        <w:t>5. Контроль за виконанням цього наказу покласти на заступника Міністра цифрової трансформації України та заступника Голови Державної служби спеціального зв’язку та захисту інформації України відповідно до розподілу функціональних обов’язків.</w:t>
      </w:r>
    </w:p>
    <w:p w:rsidR="00A268D5" w:rsidRDefault="00A268D5">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p w:rsidR="004012C8" w:rsidRPr="004012C8" w:rsidRDefault="004012C8">
      <w:pPr>
        <w:pBdr>
          <w:top w:val="nil"/>
          <w:left w:val="nil"/>
          <w:bottom w:val="nil"/>
          <w:right w:val="nil"/>
          <w:between w:val="nil"/>
        </w:pBdr>
        <w:spacing w:line="240" w:lineRule="auto"/>
        <w:ind w:left="1" w:hanging="3"/>
        <w:jc w:val="both"/>
        <w:rPr>
          <w:rFonts w:ascii="Times New Roman" w:eastAsia="Times New Roman" w:hAnsi="Times New Roman" w:cs="Times New Roman"/>
          <w:sz w:val="28"/>
          <w:szCs w:val="28"/>
        </w:rPr>
      </w:pPr>
    </w:p>
    <w:tbl>
      <w:tblPr>
        <w:tblStyle w:val="ae"/>
        <w:tblW w:w="9747" w:type="dxa"/>
        <w:tblInd w:w="0" w:type="dxa"/>
        <w:tblLayout w:type="fixed"/>
        <w:tblLook w:val="0000" w:firstRow="0" w:lastRow="0" w:firstColumn="0" w:lastColumn="0" w:noHBand="0" w:noVBand="0"/>
      </w:tblPr>
      <w:tblGrid>
        <w:gridCol w:w="4785"/>
        <w:gridCol w:w="4962"/>
      </w:tblGrid>
      <w:tr w:rsidR="00A268D5" w:rsidRPr="004012C8">
        <w:tc>
          <w:tcPr>
            <w:tcW w:w="4785" w:type="dxa"/>
          </w:tcPr>
          <w:p w:rsidR="00A268D5" w:rsidRPr="004012C8" w:rsidRDefault="00FA6A0C" w:rsidP="004012C8">
            <w:pPr>
              <w:pBdr>
                <w:top w:val="nil"/>
                <w:left w:val="nil"/>
                <w:bottom w:val="nil"/>
                <w:right w:val="nil"/>
                <w:between w:val="nil"/>
              </w:pBdr>
              <w:tabs>
                <w:tab w:val="right" w:pos="9638"/>
              </w:tabs>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Віце-прем’єр-міністр України –Міністр цифрової трансформації України</w:t>
            </w:r>
          </w:p>
        </w:tc>
        <w:tc>
          <w:tcPr>
            <w:tcW w:w="4962" w:type="dxa"/>
          </w:tcPr>
          <w:p w:rsidR="00A268D5" w:rsidRPr="004012C8" w:rsidRDefault="00FA6A0C">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Голова Державної служби спеціального зв’язку та захисту інформації України</w:t>
            </w:r>
          </w:p>
        </w:tc>
      </w:tr>
      <w:tr w:rsidR="00A268D5" w:rsidRPr="004012C8">
        <w:tc>
          <w:tcPr>
            <w:tcW w:w="4785" w:type="dxa"/>
          </w:tcPr>
          <w:p w:rsidR="00A268D5" w:rsidRPr="004012C8" w:rsidRDefault="00A268D5">
            <w:pPr>
              <w:pBdr>
                <w:top w:val="nil"/>
                <w:left w:val="nil"/>
                <w:bottom w:val="nil"/>
                <w:right w:val="nil"/>
                <w:between w:val="nil"/>
              </w:pBdr>
              <w:tabs>
                <w:tab w:val="right" w:pos="9638"/>
              </w:tabs>
              <w:spacing w:line="240" w:lineRule="auto"/>
              <w:ind w:left="1" w:hanging="3"/>
              <w:jc w:val="both"/>
              <w:rPr>
                <w:rFonts w:ascii="Times New Roman" w:eastAsia="Times New Roman" w:hAnsi="Times New Roman" w:cs="Times New Roman"/>
                <w:sz w:val="28"/>
                <w:szCs w:val="28"/>
              </w:rPr>
            </w:pPr>
          </w:p>
        </w:tc>
        <w:tc>
          <w:tcPr>
            <w:tcW w:w="4962" w:type="dxa"/>
          </w:tcPr>
          <w:p w:rsidR="00A268D5" w:rsidRPr="004012C8" w:rsidRDefault="00A268D5">
            <w:pPr>
              <w:pBdr>
                <w:top w:val="nil"/>
                <w:left w:val="nil"/>
                <w:bottom w:val="nil"/>
                <w:right w:val="nil"/>
                <w:between w:val="nil"/>
              </w:pBdr>
              <w:spacing w:line="240" w:lineRule="auto"/>
              <w:ind w:left="1" w:hanging="3"/>
              <w:jc w:val="center"/>
              <w:rPr>
                <w:rFonts w:ascii="Times New Roman" w:eastAsia="Times New Roman" w:hAnsi="Times New Roman" w:cs="Times New Roman"/>
                <w:sz w:val="28"/>
                <w:szCs w:val="28"/>
              </w:rPr>
            </w:pPr>
          </w:p>
        </w:tc>
      </w:tr>
      <w:tr w:rsidR="00A268D5">
        <w:tc>
          <w:tcPr>
            <w:tcW w:w="4785" w:type="dxa"/>
          </w:tcPr>
          <w:p w:rsidR="00A268D5" w:rsidRPr="004012C8" w:rsidRDefault="00FA6A0C">
            <w:pPr>
              <w:pBdr>
                <w:top w:val="nil"/>
                <w:left w:val="nil"/>
                <w:bottom w:val="nil"/>
                <w:right w:val="nil"/>
                <w:between w:val="nil"/>
              </w:pBdr>
              <w:tabs>
                <w:tab w:val="right" w:pos="9638"/>
              </w:tabs>
              <w:spacing w:line="240" w:lineRule="auto"/>
              <w:ind w:left="1" w:hanging="3"/>
              <w:jc w:val="right"/>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Михайло ФЕДОРОВ</w:t>
            </w:r>
          </w:p>
        </w:tc>
        <w:tc>
          <w:tcPr>
            <w:tcW w:w="4962" w:type="dxa"/>
          </w:tcPr>
          <w:p w:rsidR="00A268D5" w:rsidRDefault="00FA6A0C">
            <w:pPr>
              <w:pBdr>
                <w:top w:val="nil"/>
                <w:left w:val="nil"/>
                <w:bottom w:val="nil"/>
                <w:right w:val="nil"/>
                <w:between w:val="nil"/>
              </w:pBdr>
              <w:spacing w:line="240" w:lineRule="auto"/>
              <w:ind w:left="1" w:hanging="3"/>
              <w:jc w:val="right"/>
              <w:rPr>
                <w:rFonts w:ascii="Times New Roman" w:eastAsia="Times New Roman" w:hAnsi="Times New Roman" w:cs="Times New Roman"/>
                <w:sz w:val="28"/>
                <w:szCs w:val="28"/>
              </w:rPr>
            </w:pPr>
            <w:r w:rsidRPr="004012C8">
              <w:rPr>
                <w:rFonts w:ascii="Times New Roman" w:eastAsia="Times New Roman" w:hAnsi="Times New Roman" w:cs="Times New Roman"/>
                <w:b/>
                <w:sz w:val="28"/>
                <w:szCs w:val="28"/>
              </w:rPr>
              <w:t>Юрій ЩИГОЛЬ</w:t>
            </w:r>
          </w:p>
        </w:tc>
      </w:tr>
    </w:tbl>
    <w:p w:rsidR="00A268D5" w:rsidRDefault="00A268D5" w:rsidP="004012C8">
      <w:pPr>
        <w:pBdr>
          <w:top w:val="nil"/>
          <w:left w:val="nil"/>
          <w:bottom w:val="nil"/>
          <w:right w:val="nil"/>
          <w:between w:val="nil"/>
        </w:pBdr>
        <w:tabs>
          <w:tab w:val="right" w:pos="9638"/>
        </w:tabs>
        <w:spacing w:line="240" w:lineRule="auto"/>
        <w:ind w:leftChars="0" w:left="0" w:firstLineChars="0" w:firstLine="0"/>
        <w:jc w:val="both"/>
        <w:rPr>
          <w:rFonts w:ascii="Times New Roman" w:eastAsia="Times New Roman" w:hAnsi="Times New Roman" w:cs="Times New Roman"/>
          <w:sz w:val="28"/>
          <w:szCs w:val="28"/>
        </w:rPr>
      </w:pPr>
      <w:bookmarkStart w:id="0" w:name="_GoBack"/>
      <w:bookmarkEnd w:id="0"/>
    </w:p>
    <w:sectPr w:rsidR="00A268D5">
      <w:headerReference w:type="default" r:id="rId7"/>
      <w:footerReference w:type="first" r:id="rId8"/>
      <w:pgSz w:w="11906" w:h="16838"/>
      <w:pgMar w:top="1134" w:right="567" w:bottom="1134" w:left="1701"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6A0C" w:rsidRDefault="00FA6A0C">
      <w:pPr>
        <w:spacing w:after="0" w:line="240" w:lineRule="auto"/>
        <w:ind w:left="0" w:hanging="2"/>
      </w:pPr>
      <w:r>
        <w:separator/>
      </w:r>
    </w:p>
  </w:endnote>
  <w:endnote w:type="continuationSeparator" w:id="0">
    <w:p w:rsidR="00FA6A0C" w:rsidRDefault="00FA6A0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8D5" w:rsidRDefault="00A268D5">
    <w:pPr>
      <w:pBdr>
        <w:top w:val="nil"/>
        <w:left w:val="nil"/>
        <w:bottom w:val="nil"/>
        <w:right w:val="nil"/>
        <w:between w:val="nil"/>
      </w:pBdr>
      <w:tabs>
        <w:tab w:val="center" w:pos="4677"/>
        <w:tab w:val="right" w:pos="9355"/>
      </w:tabs>
      <w:ind w:left="0" w:hanging="2"/>
      <w:rPr>
        <w:rFonts w:ascii="Times New Roman" w:eastAsia="Times New Roman" w:hAnsi="Times New Roman" w:cs="Times New Roman"/>
        <w:color w:val="000000"/>
        <w:sz w:val="20"/>
        <w:szCs w:val="20"/>
      </w:rPr>
    </w:pPr>
  </w:p>
  <w:p w:rsidR="00A268D5" w:rsidRDefault="00A268D5">
    <w:pPr>
      <w:pBdr>
        <w:top w:val="nil"/>
        <w:left w:val="nil"/>
        <w:bottom w:val="nil"/>
        <w:right w:val="nil"/>
        <w:between w:val="nil"/>
      </w:pBdr>
      <w:tabs>
        <w:tab w:val="center" w:pos="4677"/>
        <w:tab w:val="right" w:pos="9355"/>
      </w:tabs>
      <w:ind w:left="0" w:hanging="2"/>
      <w:rPr>
        <w:rFonts w:ascii="Times New Roman" w:eastAsia="Times New Roman" w:hAnsi="Times New Roman" w:cs="Times New Roman"/>
        <w:color w:val="000000"/>
        <w:sz w:val="20"/>
        <w:szCs w:val="20"/>
      </w:rPr>
    </w:pPr>
  </w:p>
  <w:p w:rsidR="00A268D5" w:rsidRDefault="00A268D5">
    <w:pPr>
      <w:pBdr>
        <w:top w:val="nil"/>
        <w:left w:val="nil"/>
        <w:bottom w:val="nil"/>
        <w:right w:val="nil"/>
        <w:between w:val="nil"/>
      </w:pBdr>
      <w:tabs>
        <w:tab w:val="center" w:pos="4677"/>
        <w:tab w:val="right" w:pos="9355"/>
      </w:tabs>
      <w:ind w:left="0" w:hanging="2"/>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6A0C" w:rsidRDefault="00FA6A0C">
      <w:pPr>
        <w:spacing w:after="0" w:line="240" w:lineRule="auto"/>
        <w:ind w:left="0" w:hanging="2"/>
      </w:pPr>
      <w:r>
        <w:separator/>
      </w:r>
    </w:p>
  </w:footnote>
  <w:footnote w:type="continuationSeparator" w:id="0">
    <w:p w:rsidR="00FA6A0C" w:rsidRDefault="00FA6A0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8D5" w:rsidRDefault="00FA6A0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D45A56">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A268D5" w:rsidRDefault="00A268D5">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8D5"/>
    <w:rsid w:val="004012C8"/>
    <w:rsid w:val="007841D3"/>
    <w:rsid w:val="00A268D5"/>
    <w:rsid w:val="00B90E23"/>
    <w:rsid w:val="00D45A56"/>
    <w:rsid w:val="00FA6A0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EFF3"/>
  <w15:docId w15:val="{CFC20AF2-666C-4199-B37D-37B9557C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uk-U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720"/>
      <w:contextualSpacing/>
    </w:pPr>
  </w:style>
  <w:style w:type="paragraph" w:styleId="a5">
    <w:name w:val="Normal (Web)"/>
    <w:basedOn w:val="a"/>
    <w:qFormat/>
    <w:pPr>
      <w:spacing w:before="100" w:beforeAutospacing="1" w:after="100" w:afterAutospacing="1" w:line="240" w:lineRule="auto"/>
    </w:pPr>
    <w:rPr>
      <w:rFonts w:ascii="Times New Roman" w:eastAsia="Times New Roman" w:hAnsi="Times New Roman"/>
      <w:sz w:val="24"/>
      <w:szCs w:val="24"/>
    </w:rPr>
  </w:style>
  <w:style w:type="paragraph" w:styleId="a6">
    <w:name w:val="header"/>
    <w:basedOn w:val="a"/>
    <w:qFormat/>
    <w:pPr>
      <w:spacing w:after="0" w:line="240" w:lineRule="auto"/>
    </w:pPr>
    <w:rPr>
      <w:sz w:val="20"/>
      <w:szCs w:val="20"/>
    </w:rPr>
  </w:style>
  <w:style w:type="character" w:customStyle="1" w:styleId="a7">
    <w:name w:val="Верхній колонтитул Знак"/>
    <w:rPr>
      <w:rFonts w:ascii="Calibri" w:eastAsia="Times New Roman" w:hAnsi="Calibri" w:cs="Times New Roman"/>
      <w:w w:val="100"/>
      <w:position w:val="-1"/>
      <w:effect w:val="none"/>
      <w:vertAlign w:val="baseline"/>
      <w:cs w:val="0"/>
      <w:em w:val="none"/>
      <w:lang w:eastAsia="uk-UA"/>
    </w:rPr>
  </w:style>
  <w:style w:type="character" w:customStyle="1" w:styleId="7">
    <w:name w:val="Основной текст (7)_"/>
    <w:rPr>
      <w:rFonts w:ascii="Times New Roman" w:eastAsia="Times New Roman" w:hAnsi="Times New Roman"/>
      <w:spacing w:val="5"/>
      <w:w w:val="100"/>
      <w:position w:val="-1"/>
      <w:effect w:val="none"/>
      <w:shd w:val="clear" w:color="auto" w:fill="FFFFFF"/>
      <w:vertAlign w:val="baseline"/>
      <w:cs w:val="0"/>
      <w:em w:val="none"/>
    </w:rPr>
  </w:style>
  <w:style w:type="paragraph" w:customStyle="1" w:styleId="70">
    <w:name w:val="Основной текст (7)"/>
    <w:basedOn w:val="a"/>
    <w:pPr>
      <w:widowControl w:val="0"/>
      <w:shd w:val="clear" w:color="auto" w:fill="FFFFFF"/>
      <w:spacing w:after="2640" w:line="0" w:lineRule="atLeast"/>
    </w:pPr>
    <w:rPr>
      <w:rFonts w:ascii="Times New Roman" w:eastAsia="Times New Roman" w:hAnsi="Times New Roman"/>
      <w:spacing w:val="5"/>
      <w:sz w:val="20"/>
      <w:szCs w:val="20"/>
    </w:rPr>
  </w:style>
  <w:style w:type="table" w:styleId="a8">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qFormat/>
    <w:pPr>
      <w:tabs>
        <w:tab w:val="center" w:pos="4677"/>
        <w:tab w:val="right" w:pos="9355"/>
      </w:tabs>
    </w:pPr>
  </w:style>
  <w:style w:type="character" w:customStyle="1" w:styleId="aa">
    <w:name w:val="Нижній колонтитул Знак"/>
    <w:rPr>
      <w:w w:val="100"/>
      <w:position w:val="-1"/>
      <w:sz w:val="22"/>
      <w:szCs w:val="22"/>
      <w:effect w:val="none"/>
      <w:vertAlign w:val="baseline"/>
      <w:cs w:val="0"/>
      <w:em w:val="none"/>
    </w:rPr>
  </w:style>
  <w:style w:type="paragraph" w:styleId="ab">
    <w:name w:val="No Spacing"/>
    <w:pPr>
      <w:suppressAutoHyphens/>
      <w:spacing w:line="1" w:lineRule="atLeast"/>
      <w:ind w:leftChars="-1" w:left="-1" w:hangingChars="1" w:hanging="1"/>
      <w:textDirection w:val="btLr"/>
      <w:textAlignment w:val="top"/>
      <w:outlineLvl w:val="0"/>
    </w:pPr>
    <w:rPr>
      <w:position w:val="-1"/>
      <w:sz w:val="22"/>
      <w:szCs w:val="22"/>
      <w:lang w:eastAsia="uk-UA"/>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Balloon Text"/>
    <w:basedOn w:val="a"/>
    <w:link w:val="af0"/>
    <w:uiPriority w:val="99"/>
    <w:semiHidden/>
    <w:unhideWhenUsed/>
    <w:rsid w:val="00D45A56"/>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D45A56"/>
    <w:rPr>
      <w:rFonts w:ascii="Segoe UI" w:hAnsi="Segoe UI" w:cs="Segoe UI"/>
      <w:position w:val="-1"/>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Sgz9SmUQb1pfAkWXzcB/InBbdQ==">AMUW2mXpP7gaZB36erGLlQPzfaWpaZ+/eVxZRZVmD8962OA+c5xTHVo/938JiJ12D8AQ+lbN1/LL9XsIOmFEp0WjhoPSDMsZLlxtLYlQ5ke7BWAjLJduC3A=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1284</Words>
  <Characters>7320</Characters>
  <Application>Microsoft Office Word</Application>
  <DocSecurity>0</DocSecurity>
  <Lines>61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i.plotnikova</dc:creator>
  <cp:lastModifiedBy>user</cp:lastModifiedBy>
  <cp:revision>3</cp:revision>
  <cp:lastPrinted>2021-08-17T09:08:00Z</cp:lastPrinted>
  <dcterms:created xsi:type="dcterms:W3CDTF">2020-06-19T12:45:00Z</dcterms:created>
  <dcterms:modified xsi:type="dcterms:W3CDTF">2021-08-17T10:58:00Z</dcterms:modified>
</cp:coreProperties>
</file>