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E" w14:textId="77777777" w:rsidR="008D71CA" w:rsidRPr="008E21D6" w:rsidRDefault="00B01075" w:rsidP="009F1F12">
      <w:pPr>
        <w:spacing w:before="120" w:line="240" w:lineRule="auto"/>
        <w:ind w:firstLine="4395"/>
        <w:jc w:val="center"/>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ЗАТВЕРДЖЕНО</w:t>
      </w:r>
    </w:p>
    <w:p w14:paraId="0000001F" w14:textId="77777777" w:rsidR="008D71CA" w:rsidRPr="008E21D6" w:rsidRDefault="00B01075" w:rsidP="009F1F12">
      <w:pPr>
        <w:spacing w:before="120" w:line="240" w:lineRule="auto"/>
        <w:ind w:firstLine="4395"/>
        <w:jc w:val="center"/>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постановою Кабінету Міністрів України</w:t>
      </w:r>
    </w:p>
    <w:p w14:paraId="00000020" w14:textId="77777777" w:rsidR="008D71CA" w:rsidRPr="008E21D6" w:rsidRDefault="00B01075" w:rsidP="009F1F12">
      <w:pPr>
        <w:spacing w:before="120" w:line="240" w:lineRule="auto"/>
        <w:ind w:firstLine="4395"/>
        <w:jc w:val="center"/>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від ____ __________ 2022 р. № _____</w:t>
      </w:r>
    </w:p>
    <w:p w14:paraId="00000021" w14:textId="77777777" w:rsidR="008D71CA" w:rsidRPr="008E21D6" w:rsidRDefault="008D71CA" w:rsidP="00631056">
      <w:pPr>
        <w:spacing w:before="120" w:line="240" w:lineRule="auto"/>
        <w:jc w:val="both"/>
        <w:rPr>
          <w:rFonts w:ascii="Times New Roman" w:eastAsia="Times New Roman" w:hAnsi="Times New Roman" w:cs="Times New Roman"/>
          <w:sz w:val="28"/>
          <w:szCs w:val="28"/>
        </w:rPr>
      </w:pPr>
    </w:p>
    <w:p w14:paraId="00000022" w14:textId="77777777" w:rsidR="008D71CA" w:rsidRPr="008E21D6" w:rsidRDefault="00B01075" w:rsidP="00631056">
      <w:pPr>
        <w:spacing w:before="120" w:line="240" w:lineRule="auto"/>
        <w:jc w:val="center"/>
        <w:rPr>
          <w:rFonts w:ascii="Times New Roman" w:eastAsia="Times New Roman" w:hAnsi="Times New Roman" w:cs="Times New Roman"/>
          <w:b/>
          <w:sz w:val="28"/>
          <w:szCs w:val="28"/>
        </w:rPr>
      </w:pPr>
      <w:r w:rsidRPr="008E21D6">
        <w:rPr>
          <w:rFonts w:ascii="Times New Roman" w:eastAsia="Times New Roman" w:hAnsi="Times New Roman" w:cs="Times New Roman"/>
          <w:b/>
          <w:sz w:val="28"/>
          <w:szCs w:val="28"/>
        </w:rPr>
        <w:t>ЗМІНИ,</w:t>
      </w:r>
    </w:p>
    <w:p w14:paraId="00000024" w14:textId="7692197C" w:rsidR="008D71CA" w:rsidRDefault="00F14E4B" w:rsidP="00631056">
      <w:pPr>
        <w:spacing w:before="120" w:line="240" w:lineRule="auto"/>
        <w:jc w:val="center"/>
        <w:rPr>
          <w:rFonts w:ascii="Times New Roman" w:eastAsia="Times New Roman" w:hAnsi="Times New Roman" w:cs="Times New Roman"/>
          <w:b/>
          <w:sz w:val="28"/>
          <w:szCs w:val="28"/>
        </w:rPr>
      </w:pPr>
      <w:bookmarkStart w:id="0" w:name="_heading=h.30j0zll" w:colFirst="0" w:colLast="0"/>
      <w:bookmarkEnd w:id="0"/>
      <w:r w:rsidRPr="001A1E87">
        <w:rPr>
          <w:rFonts w:ascii="Times New Roman" w:eastAsia="Times New Roman" w:hAnsi="Times New Roman" w:cs="Times New Roman"/>
          <w:b/>
          <w:sz w:val="28"/>
          <w:szCs w:val="28"/>
        </w:rPr>
        <w:t>що вносяться до Порядку проведення процедури оцінки відповідності у сфері електронних довірчих послуг</w:t>
      </w:r>
    </w:p>
    <w:p w14:paraId="2CC74C34" w14:textId="77777777" w:rsidR="00F14E4B" w:rsidRPr="008E21D6" w:rsidRDefault="00F14E4B" w:rsidP="00631056">
      <w:pPr>
        <w:spacing w:before="120" w:line="240" w:lineRule="auto"/>
        <w:jc w:val="center"/>
        <w:rPr>
          <w:rFonts w:ascii="Times New Roman" w:eastAsia="Times New Roman" w:hAnsi="Times New Roman" w:cs="Times New Roman"/>
          <w:sz w:val="28"/>
          <w:szCs w:val="28"/>
        </w:rPr>
      </w:pPr>
    </w:p>
    <w:p w14:paraId="36D796A3" w14:textId="6A6D2935" w:rsidR="00EF3F1D" w:rsidRDefault="00EF3F1D"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D7962" w:rsidRPr="008E21D6">
        <w:rPr>
          <w:rFonts w:ascii="Times New Roman" w:eastAsia="Times New Roman" w:hAnsi="Times New Roman" w:cs="Times New Roman"/>
          <w:sz w:val="28"/>
          <w:szCs w:val="28"/>
        </w:rPr>
        <w:t> </w:t>
      </w:r>
      <w:r w:rsidR="002118C5">
        <w:rPr>
          <w:rFonts w:ascii="Times New Roman" w:eastAsia="Times New Roman" w:hAnsi="Times New Roman" w:cs="Times New Roman"/>
          <w:sz w:val="28"/>
          <w:szCs w:val="28"/>
        </w:rPr>
        <w:t>П</w:t>
      </w:r>
      <w:r w:rsidR="00186B97">
        <w:rPr>
          <w:rFonts w:ascii="Times New Roman" w:eastAsia="Times New Roman" w:hAnsi="Times New Roman" w:cs="Times New Roman"/>
          <w:sz w:val="28"/>
          <w:szCs w:val="28"/>
        </w:rPr>
        <w:t xml:space="preserve">ункт 2 </w:t>
      </w:r>
      <w:r w:rsidR="002118C5">
        <w:rPr>
          <w:rFonts w:ascii="Times New Roman" w:eastAsia="Times New Roman" w:hAnsi="Times New Roman" w:cs="Times New Roman"/>
          <w:sz w:val="28"/>
          <w:szCs w:val="28"/>
        </w:rPr>
        <w:t>викласти</w:t>
      </w:r>
      <w:r w:rsidR="00186B97">
        <w:rPr>
          <w:rFonts w:ascii="Times New Roman" w:eastAsia="Times New Roman" w:hAnsi="Times New Roman" w:cs="Times New Roman"/>
          <w:sz w:val="28"/>
          <w:szCs w:val="28"/>
        </w:rPr>
        <w:t xml:space="preserve"> в такій редакції:</w:t>
      </w:r>
    </w:p>
    <w:p w14:paraId="4DED5D92" w14:textId="1DB9913E" w:rsidR="00186B97" w:rsidRDefault="00186B97" w:rsidP="00AD7962">
      <w:pPr>
        <w:spacing w:before="120" w:line="240" w:lineRule="auto"/>
        <w:ind w:firstLine="708"/>
        <w:jc w:val="both"/>
        <w:rPr>
          <w:rFonts w:ascii="Times New Roman" w:eastAsia="Times New Roman" w:hAnsi="Times New Roman" w:cs="Times New Roman"/>
          <w:sz w:val="28"/>
          <w:szCs w:val="28"/>
        </w:rPr>
      </w:pPr>
      <w:r w:rsidRPr="008F57D4">
        <w:rPr>
          <w:rFonts w:ascii="Times New Roman" w:eastAsia="Times New Roman" w:hAnsi="Times New Roman" w:cs="Times New Roman"/>
          <w:sz w:val="28"/>
          <w:szCs w:val="28"/>
        </w:rPr>
        <w:t>“</w:t>
      </w:r>
      <w:r w:rsidR="007A6A20">
        <w:rPr>
          <w:rFonts w:ascii="Times New Roman" w:eastAsia="Times New Roman" w:hAnsi="Times New Roman" w:cs="Times New Roman"/>
          <w:sz w:val="28"/>
          <w:szCs w:val="28"/>
        </w:rPr>
        <w:t xml:space="preserve">2. </w:t>
      </w:r>
      <w:r w:rsidR="004E79CA" w:rsidRPr="004E79CA">
        <w:rPr>
          <w:rFonts w:ascii="Times New Roman" w:eastAsia="Times New Roman" w:hAnsi="Times New Roman" w:cs="Times New Roman"/>
          <w:sz w:val="28"/>
          <w:szCs w:val="28"/>
        </w:rPr>
        <w:t>Дія цього Порядку не поширюється</w:t>
      </w:r>
      <w:r w:rsidR="005632B9">
        <w:rPr>
          <w:rFonts w:ascii="Times New Roman" w:eastAsia="Times New Roman" w:hAnsi="Times New Roman" w:cs="Times New Roman"/>
          <w:sz w:val="28"/>
          <w:szCs w:val="28"/>
        </w:rPr>
        <w:t xml:space="preserve"> на</w:t>
      </w:r>
      <w:r w:rsidR="004E79CA" w:rsidRPr="004E79CA">
        <w:rPr>
          <w:rFonts w:ascii="Times New Roman" w:eastAsia="Times New Roman" w:hAnsi="Times New Roman" w:cs="Times New Roman"/>
          <w:sz w:val="28"/>
          <w:szCs w:val="28"/>
        </w:rPr>
        <w:t xml:space="preserve"> </w:t>
      </w:r>
      <w:r w:rsidR="005632B9" w:rsidRPr="005632B9">
        <w:rPr>
          <w:rFonts w:ascii="Times New Roman" w:eastAsia="Times New Roman" w:hAnsi="Times New Roman" w:cs="Times New Roman"/>
          <w:sz w:val="28"/>
          <w:szCs w:val="28"/>
        </w:rPr>
        <w:t>надання кваліфікованих електронних довірчих послуг у банківській системі та під час здійснення переказу коштів</w:t>
      </w:r>
      <w:r w:rsidR="005632B9">
        <w:rPr>
          <w:rFonts w:ascii="Times New Roman" w:eastAsia="Times New Roman" w:hAnsi="Times New Roman" w:cs="Times New Roman"/>
          <w:sz w:val="28"/>
          <w:szCs w:val="28"/>
        </w:rPr>
        <w:t xml:space="preserve">, а також </w:t>
      </w:r>
      <w:r w:rsidR="004E79CA" w:rsidRPr="004E79CA">
        <w:rPr>
          <w:rFonts w:ascii="Times New Roman" w:eastAsia="Times New Roman" w:hAnsi="Times New Roman" w:cs="Times New Roman"/>
          <w:sz w:val="28"/>
          <w:szCs w:val="28"/>
        </w:rPr>
        <w:t>на іноземні органи з оцінки відповідності у сфері електронних довірчих послуг, акредитовані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w:t>
      </w:r>
      <w:r w:rsidR="004E79CA">
        <w:rPr>
          <w:rFonts w:ascii="Times New Roman" w:eastAsia="Times New Roman" w:hAnsi="Times New Roman" w:cs="Times New Roman"/>
          <w:sz w:val="28"/>
          <w:szCs w:val="28"/>
        </w:rPr>
        <w:t>операції з акредитації (EA MLA)</w:t>
      </w:r>
      <w:r w:rsidR="008F57D4" w:rsidRPr="008F57D4">
        <w:rPr>
          <w:rFonts w:ascii="Times New Roman" w:eastAsia="Times New Roman" w:hAnsi="Times New Roman" w:cs="Times New Roman"/>
          <w:sz w:val="28"/>
          <w:szCs w:val="28"/>
        </w:rPr>
        <w:t>.</w:t>
      </w:r>
      <w:r w:rsidRPr="008F57D4">
        <w:rPr>
          <w:rFonts w:ascii="Times New Roman" w:eastAsia="Times New Roman" w:hAnsi="Times New Roman" w:cs="Times New Roman"/>
          <w:sz w:val="28"/>
          <w:szCs w:val="28"/>
        </w:rPr>
        <w:t>”.</w:t>
      </w:r>
    </w:p>
    <w:p w14:paraId="5662AA11" w14:textId="4A80036D" w:rsidR="00F61873" w:rsidRPr="006C11D6" w:rsidRDefault="00F61873" w:rsidP="00F61873">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8F57D4">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У підпункті 2 пункту 3 слова </w:t>
      </w:r>
      <w:r w:rsidRPr="008E21D6">
        <w:rPr>
          <w:rFonts w:ascii="Times New Roman" w:eastAsia="Times New Roman" w:hAnsi="Times New Roman" w:cs="Times New Roman"/>
          <w:sz w:val="28"/>
          <w:szCs w:val="28"/>
        </w:rPr>
        <w:t>“</w:t>
      </w:r>
      <w:r w:rsidRPr="006C11D6">
        <w:rPr>
          <w:rFonts w:ascii="Times New Roman" w:eastAsia="Times New Roman" w:hAnsi="Times New Roman" w:cs="Times New Roman"/>
          <w:sz w:val="28"/>
          <w:szCs w:val="28"/>
        </w:rPr>
        <w:t>інформаційних та телекомунікаційних систем</w:t>
      </w:r>
      <w:r w:rsidRPr="008E21D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замінити словами </w:t>
      </w:r>
      <w:r w:rsidRPr="008E21D6">
        <w:rPr>
          <w:rFonts w:ascii="Times New Roman" w:eastAsia="Times New Roman" w:hAnsi="Times New Roman" w:cs="Times New Roman"/>
          <w:sz w:val="28"/>
          <w:szCs w:val="28"/>
        </w:rPr>
        <w:t>“</w:t>
      </w:r>
      <w:r w:rsidRPr="006C11D6">
        <w:rPr>
          <w:rFonts w:ascii="Times New Roman" w:eastAsia="Times New Roman" w:hAnsi="Times New Roman" w:cs="Times New Roman"/>
          <w:sz w:val="28"/>
          <w:szCs w:val="28"/>
        </w:rPr>
        <w:t>інформаційних та комунікаційних систем</w:t>
      </w:r>
      <w:r w:rsidRPr="008E21D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3379FBF" w14:textId="1AB7635D" w:rsidR="008F57D4" w:rsidRDefault="00F61873" w:rsidP="008F57D4">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F57D4">
        <w:rPr>
          <w:rFonts w:ascii="Times New Roman" w:eastAsia="Times New Roman" w:hAnsi="Times New Roman" w:cs="Times New Roman"/>
          <w:sz w:val="28"/>
          <w:szCs w:val="28"/>
        </w:rPr>
        <w:t>. Пункт 6 доповнити новими абзацами такого змісту:</w:t>
      </w:r>
    </w:p>
    <w:p w14:paraId="246802E4" w14:textId="0959721E" w:rsidR="004E79CA" w:rsidRPr="004E79CA" w:rsidRDefault="00530E0A" w:rsidP="004E79CA">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w:t>
      </w:r>
      <w:r w:rsidR="004E79CA" w:rsidRPr="004E79CA">
        <w:rPr>
          <w:rFonts w:ascii="Times New Roman" w:eastAsia="Times New Roman" w:hAnsi="Times New Roman" w:cs="Times New Roman"/>
          <w:sz w:val="28"/>
          <w:szCs w:val="28"/>
        </w:rPr>
        <w:t>Замовник процедури оцінки відповідності може пройти процедуру оцінки відповідності та отримати аудиторський звіт в іноземному органі з оцінки відповідності, акредитованому відповідно іноземними органами з акредитації, що є підписантами багатосторонньої угоди про визнання Міжнародного форуму з акредитації та/або Європейської кооперації з акредитації (EA MLA).</w:t>
      </w:r>
    </w:p>
    <w:p w14:paraId="46A28A6D" w14:textId="477BB001" w:rsidR="004E79CA" w:rsidRDefault="004E79CA" w:rsidP="004E79CA">
      <w:pPr>
        <w:spacing w:before="120" w:line="240" w:lineRule="auto"/>
        <w:ind w:firstLine="708"/>
        <w:jc w:val="both"/>
        <w:rPr>
          <w:rFonts w:ascii="Times New Roman" w:eastAsia="Times New Roman" w:hAnsi="Times New Roman" w:cs="Times New Roman"/>
          <w:sz w:val="28"/>
          <w:szCs w:val="28"/>
        </w:rPr>
      </w:pPr>
      <w:r w:rsidRPr="004E79CA">
        <w:rPr>
          <w:rFonts w:ascii="Times New Roman" w:eastAsia="Times New Roman" w:hAnsi="Times New Roman" w:cs="Times New Roman"/>
          <w:sz w:val="28"/>
          <w:szCs w:val="28"/>
        </w:rPr>
        <w:t>Аудиторський звіт іноземного органу з оцінки відповідності, викладений іноземною мовою, повинен бути перекладений на державну мову із засвідченням вірності перекладу з однієї мови на іншу або підпису перекладача в установленому законодавством порядку.</w:t>
      </w:r>
      <w:r w:rsidR="00530E0A" w:rsidRPr="008E21D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A2B2B9C" w14:textId="6F1BFEA9" w:rsidR="00AD7962" w:rsidRPr="008E21D6" w:rsidRDefault="00F61873" w:rsidP="004E79CA">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F3F1D">
        <w:rPr>
          <w:rFonts w:ascii="Times New Roman" w:eastAsia="Times New Roman" w:hAnsi="Times New Roman" w:cs="Times New Roman"/>
          <w:sz w:val="28"/>
          <w:szCs w:val="28"/>
        </w:rPr>
        <w:t>. </w:t>
      </w:r>
      <w:r w:rsidR="00140328">
        <w:rPr>
          <w:rFonts w:ascii="Times New Roman" w:eastAsia="Times New Roman" w:hAnsi="Times New Roman" w:cs="Times New Roman"/>
          <w:sz w:val="28"/>
          <w:szCs w:val="28"/>
        </w:rPr>
        <w:t>П</w:t>
      </w:r>
      <w:r w:rsidR="00AD7962" w:rsidRPr="008E21D6">
        <w:rPr>
          <w:rFonts w:ascii="Times New Roman" w:eastAsia="Times New Roman" w:hAnsi="Times New Roman" w:cs="Times New Roman"/>
          <w:sz w:val="28"/>
          <w:szCs w:val="28"/>
        </w:rPr>
        <w:t>ункти 7 – 9 викласти в такій редакції:</w:t>
      </w:r>
    </w:p>
    <w:p w14:paraId="7534DC0E" w14:textId="4E4472E4"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“7. Органи з оцінки відповідності та замовники процедури оцінки відповідності під час проведення процедури оцінки відповідності у сфері електронних довірчих послуг повинні дотримуватися положень, визначених у стандарт</w:t>
      </w:r>
      <w:r w:rsidR="00D112B6" w:rsidRPr="00D112B6">
        <w:rPr>
          <w:rFonts w:ascii="Times New Roman" w:eastAsia="Times New Roman" w:hAnsi="Times New Roman" w:cs="Times New Roman"/>
          <w:sz w:val="28"/>
          <w:szCs w:val="28"/>
        </w:rPr>
        <w:t>ах</w:t>
      </w:r>
      <w:r w:rsidRPr="008E21D6">
        <w:rPr>
          <w:rFonts w:ascii="Times New Roman" w:eastAsia="Times New Roman" w:hAnsi="Times New Roman" w:cs="Times New Roman"/>
          <w:sz w:val="28"/>
          <w:szCs w:val="28"/>
        </w:rPr>
        <w:t xml:space="preserve"> </w:t>
      </w:r>
      <w:r w:rsidR="00D112B6" w:rsidRPr="00D112B6">
        <w:rPr>
          <w:rFonts w:ascii="Times New Roman" w:eastAsia="Times New Roman" w:hAnsi="Times New Roman" w:cs="Times New Roman"/>
          <w:sz w:val="28"/>
          <w:szCs w:val="28"/>
        </w:rPr>
        <w:t xml:space="preserve">ДСТУ ETSI EN 319 403-1:2021 (ETSI EN 319 403-1 V2.3.1 (2020-06), IDT) “Електронні підписи та інфраструктури (ESI). Оцінювання відповідності постачальників довірчих послуг. Частина 1. Вимоги до органів оцінювання відповідності, які оцінюють постачальників довірчих послуг” та ДСТУ ETSI TS 119 403-2:2021 (ETSI TS 119 403-2 V1.2.4 (2020-11), IDT) “Електронні підписи та </w:t>
      </w:r>
      <w:r w:rsidR="00D112B6" w:rsidRPr="00D112B6">
        <w:rPr>
          <w:rFonts w:ascii="Times New Roman" w:eastAsia="Times New Roman" w:hAnsi="Times New Roman" w:cs="Times New Roman"/>
          <w:sz w:val="28"/>
          <w:szCs w:val="28"/>
        </w:rPr>
        <w:lastRenderedPageBreak/>
        <w:t xml:space="preserve">інфраструктури (ESI). Оцінювання відповідності постачальників довірчих послуг. Частина 2. Додаткові вимоги до органів оцінювання відповідності, що перевіряють постачальників довірчих послуг, </w:t>
      </w:r>
      <w:r w:rsidR="00D112B6">
        <w:rPr>
          <w:rFonts w:ascii="Times New Roman" w:eastAsia="Times New Roman" w:hAnsi="Times New Roman" w:cs="Times New Roman"/>
          <w:sz w:val="28"/>
          <w:szCs w:val="28"/>
        </w:rPr>
        <w:t>які видають довірчі сертифікати</w:t>
      </w:r>
      <w:r w:rsidR="00D112B6" w:rsidRPr="00D112B6">
        <w:rPr>
          <w:rFonts w:ascii="Times New Roman" w:eastAsia="Times New Roman" w:hAnsi="Times New Roman" w:cs="Times New Roman"/>
          <w:sz w:val="28"/>
          <w:szCs w:val="28"/>
        </w:rPr>
        <w:t>”</w:t>
      </w:r>
      <w:r w:rsidR="00D112B6">
        <w:rPr>
          <w:rFonts w:ascii="Times New Roman" w:eastAsia="Times New Roman" w:hAnsi="Times New Roman" w:cs="Times New Roman"/>
          <w:sz w:val="28"/>
          <w:szCs w:val="28"/>
        </w:rPr>
        <w:t>, затверджених</w:t>
      </w:r>
      <w:r w:rsidRPr="008E21D6">
        <w:rPr>
          <w:rFonts w:ascii="Times New Roman" w:eastAsia="Times New Roman" w:hAnsi="Times New Roman" w:cs="Times New Roman"/>
          <w:sz w:val="28"/>
          <w:szCs w:val="28"/>
        </w:rPr>
        <w:t xml:space="preserve"> наказом </w:t>
      </w:r>
      <w:r w:rsidR="00530E0A" w:rsidRPr="00530E0A">
        <w:rPr>
          <w:rFonts w:ascii="Times New Roman" w:eastAsia="Times New Roman" w:hAnsi="Times New Roman" w:cs="Times New Roman"/>
          <w:sz w:val="28"/>
          <w:szCs w:val="28"/>
        </w:rPr>
        <w:t>ДП “</w:t>
      </w:r>
      <w:proofErr w:type="spellStart"/>
      <w:r w:rsidR="00530E0A" w:rsidRPr="00530E0A">
        <w:rPr>
          <w:rFonts w:ascii="Times New Roman" w:eastAsia="Times New Roman" w:hAnsi="Times New Roman" w:cs="Times New Roman"/>
          <w:sz w:val="28"/>
          <w:szCs w:val="28"/>
        </w:rPr>
        <w:t>УкрНДЦ</w:t>
      </w:r>
      <w:proofErr w:type="spellEnd"/>
      <w:r w:rsidR="00530E0A" w:rsidRPr="00530E0A">
        <w:rPr>
          <w:rFonts w:ascii="Times New Roman" w:eastAsia="Times New Roman" w:hAnsi="Times New Roman" w:cs="Times New Roman"/>
          <w:sz w:val="28"/>
          <w:szCs w:val="28"/>
        </w:rPr>
        <w:t xml:space="preserve">” </w:t>
      </w:r>
      <w:r w:rsidRPr="008E21D6">
        <w:rPr>
          <w:rFonts w:ascii="Times New Roman" w:eastAsia="Times New Roman" w:hAnsi="Times New Roman" w:cs="Times New Roman"/>
          <w:sz w:val="28"/>
          <w:szCs w:val="28"/>
        </w:rPr>
        <w:t>від 16 грудня</w:t>
      </w:r>
      <w:r w:rsidR="00530E0A">
        <w:rPr>
          <w:rFonts w:ascii="Times New Roman" w:eastAsia="Times New Roman" w:hAnsi="Times New Roman" w:cs="Times New Roman"/>
          <w:sz w:val="28"/>
          <w:szCs w:val="28"/>
        </w:rPr>
        <w:t xml:space="preserve"> </w:t>
      </w:r>
      <w:r w:rsidRPr="008E21D6">
        <w:rPr>
          <w:rFonts w:ascii="Times New Roman" w:eastAsia="Times New Roman" w:hAnsi="Times New Roman" w:cs="Times New Roman"/>
          <w:sz w:val="28"/>
          <w:szCs w:val="28"/>
        </w:rPr>
        <w:t>2021 р. № 512</w:t>
      </w:r>
      <w:r w:rsidR="008D5F4D">
        <w:rPr>
          <w:rFonts w:ascii="Times New Roman" w:eastAsia="Times New Roman" w:hAnsi="Times New Roman" w:cs="Times New Roman"/>
          <w:sz w:val="28"/>
          <w:szCs w:val="28"/>
        </w:rPr>
        <w:t xml:space="preserve"> (далі </w:t>
      </w:r>
      <w:r w:rsidR="00785366">
        <w:rPr>
          <w:rFonts w:ascii="Times New Roman" w:eastAsia="Times New Roman" w:hAnsi="Times New Roman" w:cs="Times New Roman"/>
          <w:sz w:val="28"/>
          <w:szCs w:val="28"/>
        </w:rPr>
        <w:t xml:space="preserve">– </w:t>
      </w:r>
      <w:r w:rsidR="008D5F4D" w:rsidRPr="008D5F4D">
        <w:rPr>
          <w:rFonts w:ascii="Times New Roman" w:eastAsia="Times New Roman" w:hAnsi="Times New Roman" w:cs="Times New Roman"/>
          <w:sz w:val="28"/>
          <w:szCs w:val="28"/>
        </w:rPr>
        <w:t>ДСТУ ETSI EN 319 403-1:2021</w:t>
      </w:r>
      <w:r w:rsidR="008D5F4D">
        <w:rPr>
          <w:rFonts w:ascii="Times New Roman" w:eastAsia="Times New Roman" w:hAnsi="Times New Roman" w:cs="Times New Roman"/>
          <w:sz w:val="28"/>
          <w:szCs w:val="28"/>
        </w:rPr>
        <w:t xml:space="preserve"> та </w:t>
      </w:r>
      <w:r w:rsidR="008D5F4D" w:rsidRPr="00D112B6">
        <w:rPr>
          <w:rFonts w:ascii="Times New Roman" w:eastAsia="Times New Roman" w:hAnsi="Times New Roman" w:cs="Times New Roman"/>
          <w:sz w:val="28"/>
          <w:szCs w:val="28"/>
        </w:rPr>
        <w:t>ДСТУ ETSI TS 119 403-2:2021</w:t>
      </w:r>
      <w:r w:rsidR="008D5F4D">
        <w:rPr>
          <w:rFonts w:ascii="Times New Roman" w:eastAsia="Times New Roman" w:hAnsi="Times New Roman" w:cs="Times New Roman"/>
          <w:sz w:val="28"/>
          <w:szCs w:val="28"/>
        </w:rPr>
        <w:t>)</w:t>
      </w:r>
      <w:r w:rsidRPr="008E21D6">
        <w:rPr>
          <w:rFonts w:ascii="Times New Roman" w:eastAsia="Times New Roman" w:hAnsi="Times New Roman" w:cs="Times New Roman"/>
          <w:sz w:val="28"/>
          <w:szCs w:val="28"/>
        </w:rPr>
        <w:t>.</w:t>
      </w:r>
    </w:p>
    <w:p w14:paraId="53BE3ABB" w14:textId="699CF1FA" w:rsidR="000B535C" w:rsidRPr="008E21D6" w:rsidRDefault="00AD7962" w:rsidP="000B535C">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 xml:space="preserve">8. Рішення за результатами проведення процедури оцінки відповідності у сфері електронних довірчих послуг приймається органом з оцінки відповідності на основі аналізу аудиторського звіту, оформленого цим органом за результатами виконання усіх етапів процесу аудиту, визначених </w:t>
      </w:r>
      <w:r w:rsidR="000B535C" w:rsidRPr="008E21D6">
        <w:rPr>
          <w:rFonts w:ascii="Times New Roman" w:eastAsia="Times New Roman" w:hAnsi="Times New Roman" w:cs="Times New Roman"/>
          <w:sz w:val="28"/>
          <w:szCs w:val="28"/>
        </w:rPr>
        <w:t>у стандарт</w:t>
      </w:r>
      <w:r w:rsidR="000B535C" w:rsidRPr="00D112B6">
        <w:rPr>
          <w:rFonts w:ascii="Times New Roman" w:eastAsia="Times New Roman" w:hAnsi="Times New Roman" w:cs="Times New Roman"/>
          <w:sz w:val="28"/>
          <w:szCs w:val="28"/>
        </w:rPr>
        <w:t>ах</w:t>
      </w:r>
      <w:r w:rsidR="000B535C" w:rsidRPr="008E21D6">
        <w:rPr>
          <w:rFonts w:ascii="Times New Roman" w:eastAsia="Times New Roman" w:hAnsi="Times New Roman" w:cs="Times New Roman"/>
          <w:sz w:val="28"/>
          <w:szCs w:val="28"/>
        </w:rPr>
        <w:t xml:space="preserve"> </w:t>
      </w:r>
      <w:r w:rsidR="000B535C" w:rsidRPr="00D112B6">
        <w:rPr>
          <w:rFonts w:ascii="Times New Roman" w:eastAsia="Times New Roman" w:hAnsi="Times New Roman" w:cs="Times New Roman"/>
          <w:sz w:val="28"/>
          <w:szCs w:val="28"/>
        </w:rPr>
        <w:t>ДСТУ ETSI EN 319 403-1:2021 та ДСТУ ETSI TS 119 403-2:2021</w:t>
      </w:r>
      <w:r w:rsidR="000B535C" w:rsidRPr="008E21D6">
        <w:rPr>
          <w:rFonts w:ascii="Times New Roman" w:eastAsia="Times New Roman" w:hAnsi="Times New Roman" w:cs="Times New Roman"/>
          <w:sz w:val="28"/>
          <w:szCs w:val="28"/>
        </w:rPr>
        <w:t>.</w:t>
      </w:r>
    </w:p>
    <w:p w14:paraId="2F3A3232" w14:textId="0EA7BB04"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 xml:space="preserve">9. Прийняття органом з оцінки відповідності рішення про видачу документа про відповідність здійснюється в </w:t>
      </w:r>
      <w:r w:rsidR="00D16E63" w:rsidRPr="00E6617E">
        <w:rPr>
          <w:rFonts w:ascii="Times New Roman" w:eastAsia="Times New Roman" w:hAnsi="Times New Roman" w:cs="Times New Roman"/>
          <w:sz w:val="28"/>
          <w:szCs w:val="28"/>
        </w:rPr>
        <w:t>строк</w:t>
      </w:r>
      <w:r w:rsidRPr="008E21D6">
        <w:rPr>
          <w:rFonts w:ascii="Times New Roman" w:eastAsia="Times New Roman" w:hAnsi="Times New Roman" w:cs="Times New Roman"/>
          <w:sz w:val="28"/>
          <w:szCs w:val="28"/>
        </w:rPr>
        <w:t xml:space="preserve">, </w:t>
      </w:r>
      <w:r w:rsidRPr="008E21D6">
        <w:rPr>
          <w:rFonts w:ascii="Times New Roman" w:hAnsi="Times New Roman" w:cs="Times New Roman"/>
          <w:sz w:val="28"/>
          <w:szCs w:val="28"/>
        </w:rPr>
        <w:t>визначений у договорі, зазначеному в пункті 6 цього Порядку.</w:t>
      </w:r>
      <w:r w:rsidR="00140328">
        <w:rPr>
          <w:rFonts w:ascii="Times New Roman" w:eastAsia="Times New Roman" w:hAnsi="Times New Roman" w:cs="Times New Roman"/>
          <w:sz w:val="28"/>
          <w:szCs w:val="28"/>
        </w:rPr>
        <w:t>”.</w:t>
      </w:r>
    </w:p>
    <w:p w14:paraId="66A46A19" w14:textId="3CC8E39F" w:rsidR="00AD7962" w:rsidRPr="008E21D6" w:rsidRDefault="00F61873"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15912">
        <w:rPr>
          <w:rFonts w:ascii="Times New Roman" w:eastAsia="Times New Roman" w:hAnsi="Times New Roman" w:cs="Times New Roman"/>
          <w:sz w:val="28"/>
          <w:szCs w:val="28"/>
        </w:rPr>
        <w:t>.</w:t>
      </w:r>
      <w:r w:rsidR="00AD7962" w:rsidRPr="008E21D6">
        <w:rPr>
          <w:rFonts w:ascii="Times New Roman" w:eastAsia="Times New Roman" w:hAnsi="Times New Roman" w:cs="Times New Roman"/>
          <w:sz w:val="28"/>
          <w:szCs w:val="28"/>
        </w:rPr>
        <w:t> </w:t>
      </w:r>
      <w:r w:rsidR="00140328">
        <w:rPr>
          <w:rFonts w:ascii="Times New Roman" w:eastAsia="Times New Roman" w:hAnsi="Times New Roman" w:cs="Times New Roman"/>
          <w:sz w:val="28"/>
          <w:szCs w:val="28"/>
        </w:rPr>
        <w:t>Д</w:t>
      </w:r>
      <w:r w:rsidR="00AD7962" w:rsidRPr="008E21D6">
        <w:rPr>
          <w:rFonts w:ascii="Times New Roman" w:eastAsia="Times New Roman" w:hAnsi="Times New Roman" w:cs="Times New Roman"/>
          <w:sz w:val="28"/>
          <w:szCs w:val="28"/>
        </w:rPr>
        <w:t xml:space="preserve">оповнити Порядок після пункту 9 новими пунктами </w:t>
      </w:r>
      <w:r w:rsidR="00C13524">
        <w:rPr>
          <w:rFonts w:ascii="Times New Roman" w:eastAsia="Times New Roman" w:hAnsi="Times New Roman" w:cs="Times New Roman"/>
          <w:sz w:val="28"/>
          <w:szCs w:val="28"/>
        </w:rPr>
        <w:t>9</w:t>
      </w:r>
      <w:r w:rsidR="00C13524" w:rsidRPr="00C13524">
        <w:rPr>
          <w:rFonts w:ascii="Times New Roman" w:eastAsia="Times New Roman" w:hAnsi="Times New Roman" w:cs="Times New Roman"/>
          <w:sz w:val="28"/>
          <w:szCs w:val="28"/>
          <w:vertAlign w:val="superscript"/>
        </w:rPr>
        <w:t>1</w:t>
      </w:r>
      <w:r w:rsidR="00C13524">
        <w:rPr>
          <w:rFonts w:ascii="Times New Roman" w:eastAsia="Times New Roman" w:hAnsi="Times New Roman" w:cs="Times New Roman"/>
          <w:sz w:val="28"/>
          <w:szCs w:val="28"/>
        </w:rPr>
        <w:t>-9</w:t>
      </w:r>
      <w:r w:rsidR="00C13524" w:rsidRPr="00C13524">
        <w:rPr>
          <w:rFonts w:ascii="Times New Roman" w:eastAsia="Times New Roman" w:hAnsi="Times New Roman" w:cs="Times New Roman"/>
          <w:sz w:val="28"/>
          <w:szCs w:val="28"/>
          <w:vertAlign w:val="superscript"/>
        </w:rPr>
        <w:t>3</w:t>
      </w:r>
      <w:r w:rsidR="00C13524">
        <w:rPr>
          <w:rFonts w:ascii="Times New Roman" w:eastAsia="Times New Roman" w:hAnsi="Times New Roman" w:cs="Times New Roman"/>
          <w:sz w:val="28"/>
          <w:szCs w:val="28"/>
        </w:rPr>
        <w:t xml:space="preserve"> </w:t>
      </w:r>
      <w:r w:rsidR="00AD7962" w:rsidRPr="008E21D6">
        <w:rPr>
          <w:rFonts w:ascii="Times New Roman" w:eastAsia="Times New Roman" w:hAnsi="Times New Roman" w:cs="Times New Roman"/>
          <w:sz w:val="28"/>
          <w:szCs w:val="28"/>
        </w:rPr>
        <w:t>такого змісту:</w:t>
      </w:r>
    </w:p>
    <w:p w14:paraId="4C873B4A" w14:textId="36DF167B" w:rsidR="00AD7962" w:rsidRDefault="00AD7962" w:rsidP="00AD7962">
      <w:pPr>
        <w:spacing w:before="120" w:line="240" w:lineRule="auto"/>
        <w:ind w:firstLine="705"/>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“9</w:t>
      </w:r>
      <w:r w:rsidRPr="008E21D6">
        <w:rPr>
          <w:rFonts w:ascii="Times New Roman" w:eastAsia="Times New Roman" w:hAnsi="Times New Roman" w:cs="Times New Roman"/>
          <w:sz w:val="28"/>
          <w:szCs w:val="28"/>
          <w:vertAlign w:val="superscript"/>
        </w:rPr>
        <w:t>1</w:t>
      </w:r>
      <w:r w:rsidRPr="008E21D6">
        <w:rPr>
          <w:rFonts w:ascii="Times New Roman" w:eastAsia="Times New Roman" w:hAnsi="Times New Roman" w:cs="Times New Roman"/>
          <w:sz w:val="28"/>
          <w:szCs w:val="28"/>
        </w:rPr>
        <w:t>. Оцінка відпові</w:t>
      </w:r>
      <w:r w:rsidR="008F57D4">
        <w:rPr>
          <w:rFonts w:ascii="Times New Roman" w:eastAsia="Times New Roman" w:hAnsi="Times New Roman" w:cs="Times New Roman"/>
          <w:sz w:val="28"/>
          <w:szCs w:val="28"/>
        </w:rPr>
        <w:t>дності проводиться у два етапи:</w:t>
      </w:r>
    </w:p>
    <w:p w14:paraId="1FEFDE01" w14:textId="02735023" w:rsidR="00BA6D95" w:rsidRPr="00BA6D95" w:rsidRDefault="00BA6D95" w:rsidP="00BA6D95">
      <w:pPr>
        <w:spacing w:before="120" w:line="240" w:lineRule="auto"/>
        <w:ind w:firstLine="705"/>
        <w:jc w:val="both"/>
        <w:rPr>
          <w:rFonts w:ascii="Times New Roman" w:eastAsia="Times New Roman" w:hAnsi="Times New Roman" w:cs="Times New Roman"/>
          <w:sz w:val="28"/>
          <w:szCs w:val="28"/>
        </w:rPr>
      </w:pPr>
      <w:r w:rsidRPr="00BA6D95">
        <w:rPr>
          <w:rFonts w:ascii="Times New Roman" w:eastAsia="Times New Roman" w:hAnsi="Times New Roman" w:cs="Times New Roman"/>
          <w:sz w:val="28"/>
          <w:szCs w:val="28"/>
        </w:rPr>
        <w:t xml:space="preserve">перший етап </w:t>
      </w:r>
      <w:r>
        <w:rPr>
          <w:rFonts w:ascii="Times New Roman" w:eastAsia="Times New Roman" w:hAnsi="Times New Roman" w:cs="Times New Roman"/>
          <w:sz w:val="28"/>
          <w:szCs w:val="28"/>
        </w:rPr>
        <w:t>‒</w:t>
      </w:r>
      <w:r w:rsidRPr="00BA6D95">
        <w:rPr>
          <w:rFonts w:ascii="Times New Roman" w:eastAsia="Times New Roman" w:hAnsi="Times New Roman" w:cs="Times New Roman"/>
          <w:sz w:val="28"/>
          <w:szCs w:val="28"/>
        </w:rPr>
        <w:t xml:space="preserve"> передбачає проведення оцінки документації, в тому числі планування другого етапу шляхом визначення структури та об’єму кваліфікованих електронних довірчих послуг, що надаватиме об’єкт оцінки відповідності; </w:t>
      </w:r>
    </w:p>
    <w:p w14:paraId="52536D37" w14:textId="77777777" w:rsidR="00BA6D95" w:rsidRDefault="00BA6D95" w:rsidP="00BA6D95">
      <w:pPr>
        <w:spacing w:before="120" w:line="240" w:lineRule="auto"/>
        <w:ind w:firstLine="705"/>
        <w:jc w:val="both"/>
        <w:rPr>
          <w:rFonts w:ascii="Times New Roman" w:eastAsia="Times New Roman" w:hAnsi="Times New Roman" w:cs="Times New Roman"/>
          <w:sz w:val="28"/>
          <w:szCs w:val="28"/>
        </w:rPr>
      </w:pPr>
      <w:r w:rsidRPr="00BA6D95">
        <w:rPr>
          <w:rFonts w:ascii="Times New Roman" w:eastAsia="Times New Roman" w:hAnsi="Times New Roman" w:cs="Times New Roman"/>
          <w:sz w:val="28"/>
          <w:szCs w:val="28"/>
        </w:rPr>
        <w:t xml:space="preserve">другий етап </w:t>
      </w:r>
      <w:r>
        <w:rPr>
          <w:rFonts w:ascii="Times New Roman" w:eastAsia="Times New Roman" w:hAnsi="Times New Roman" w:cs="Times New Roman"/>
          <w:sz w:val="28"/>
          <w:szCs w:val="28"/>
        </w:rPr>
        <w:t>‒</w:t>
      </w:r>
      <w:r w:rsidRPr="00BA6D95">
        <w:rPr>
          <w:rFonts w:ascii="Times New Roman" w:eastAsia="Times New Roman" w:hAnsi="Times New Roman" w:cs="Times New Roman"/>
          <w:sz w:val="28"/>
          <w:szCs w:val="28"/>
        </w:rPr>
        <w:t xml:space="preserve"> передбачає виїзний плановий або позаплановий захід, що здійснюється за місцезнаходженням об’єкта оцінки відповідності та передбачає підтвердження результатів попереднього аудиторського звіту та завершення аудиту перевірених послуг.</w:t>
      </w:r>
    </w:p>
    <w:p w14:paraId="7AFA6989" w14:textId="0EAB07B5" w:rsidR="00AD7962" w:rsidRPr="008E21D6" w:rsidRDefault="00AD7962" w:rsidP="00BA6D95">
      <w:pPr>
        <w:spacing w:before="120" w:line="240" w:lineRule="auto"/>
        <w:ind w:firstLine="705"/>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За результатами кожного з етапів складається відповідний звіт. Під час встановлення інтервалу між першим та другим етапами оцінки відповідності необхідно враховувати потреби замовника процедури оцінки відповідності для вирішення проблемних областей, виявлених під час проведення першого етапу.</w:t>
      </w:r>
    </w:p>
    <w:p w14:paraId="73AF9CEF" w14:textId="77777777" w:rsidR="00AD7962" w:rsidRPr="008E21D6" w:rsidRDefault="00AD7962" w:rsidP="00AD7962">
      <w:pPr>
        <w:spacing w:before="120" w:line="240" w:lineRule="auto"/>
        <w:ind w:firstLine="705"/>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Орган з оцінки відповідності повинен інформувати замовника процедури оцінки відповідності про всі висновки описані в аудиторському звіті із зазначенням їх суттєвого впливу на безпеку та/або здатність надавати кваліфіковані електронні довірчі послуги.</w:t>
      </w:r>
    </w:p>
    <w:p w14:paraId="332479E1" w14:textId="77777777"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9</w:t>
      </w:r>
      <w:r w:rsidRPr="008E21D6">
        <w:rPr>
          <w:rFonts w:ascii="Times New Roman" w:eastAsia="Times New Roman" w:hAnsi="Times New Roman" w:cs="Times New Roman"/>
          <w:sz w:val="28"/>
          <w:szCs w:val="28"/>
          <w:vertAlign w:val="superscript"/>
        </w:rPr>
        <w:t>2</w:t>
      </w:r>
      <w:r w:rsidRPr="008E21D6">
        <w:rPr>
          <w:rFonts w:ascii="Times New Roman" w:eastAsia="Times New Roman" w:hAnsi="Times New Roman" w:cs="Times New Roman"/>
          <w:sz w:val="28"/>
          <w:szCs w:val="28"/>
        </w:rPr>
        <w:t xml:space="preserve">. У разі якщо замовник процедури оцінки відповідності виявив намір у продовженні процедури оцінки відповідності він має надати органу з оцінки відповідності план корекційних дій для усунення виявлених </w:t>
      </w:r>
      <w:proofErr w:type="spellStart"/>
      <w:r w:rsidRPr="008E21D6">
        <w:rPr>
          <w:rFonts w:ascii="Times New Roman" w:eastAsia="Times New Roman" w:hAnsi="Times New Roman" w:cs="Times New Roman"/>
          <w:sz w:val="28"/>
          <w:szCs w:val="28"/>
        </w:rPr>
        <w:t>невідповідностей</w:t>
      </w:r>
      <w:proofErr w:type="spellEnd"/>
      <w:r w:rsidRPr="008E21D6">
        <w:rPr>
          <w:rFonts w:ascii="Times New Roman" w:eastAsia="Times New Roman" w:hAnsi="Times New Roman" w:cs="Times New Roman"/>
          <w:sz w:val="28"/>
          <w:szCs w:val="28"/>
        </w:rPr>
        <w:t>.</w:t>
      </w:r>
    </w:p>
    <w:p w14:paraId="19648CB9" w14:textId="77777777"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Орган з оцінки відповідності повинен оцінити корекційні дії та часові витрати на них, а також поінформувати замовника процедури оцінки відповідності про додаткові завдання оцінки відповідності, необхідні для підтвердження того, що невідповідності були виправлені.</w:t>
      </w:r>
    </w:p>
    <w:p w14:paraId="417762D5" w14:textId="77777777"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9</w:t>
      </w:r>
      <w:r w:rsidRPr="008E21D6">
        <w:rPr>
          <w:rFonts w:ascii="Times New Roman" w:eastAsia="Times New Roman" w:hAnsi="Times New Roman" w:cs="Times New Roman"/>
          <w:sz w:val="28"/>
          <w:szCs w:val="28"/>
          <w:vertAlign w:val="superscript"/>
        </w:rPr>
        <w:t>3</w:t>
      </w:r>
      <w:r w:rsidRPr="008E21D6">
        <w:rPr>
          <w:rFonts w:ascii="Times New Roman" w:eastAsia="Times New Roman" w:hAnsi="Times New Roman" w:cs="Times New Roman"/>
          <w:sz w:val="28"/>
          <w:szCs w:val="28"/>
        </w:rPr>
        <w:t xml:space="preserve">. Корекційні дії при незначній невідповідності, тобто невиконанні вимог, які не мають істотного впливу на безпеку та здатність кваліфікованого надавача </w:t>
      </w:r>
      <w:r w:rsidRPr="008E21D6">
        <w:rPr>
          <w:rFonts w:ascii="Times New Roman" w:eastAsia="Times New Roman" w:hAnsi="Times New Roman" w:cs="Times New Roman"/>
          <w:sz w:val="28"/>
          <w:szCs w:val="28"/>
        </w:rPr>
        <w:lastRenderedPageBreak/>
        <w:t>електронних довірчих послуг надавати кваліфіковані електронні довірчі послуги повинні бути розглянуті протягом:</w:t>
      </w:r>
    </w:p>
    <w:p w14:paraId="1C17661D" w14:textId="77777777"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3 місяців після інформування замовника процедури оцінки відповідності про невідповідність аудиторського звіту;</w:t>
      </w:r>
    </w:p>
    <w:p w14:paraId="48B52D1E" w14:textId="58A9FA29"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6 місяців після інформування замовника процедури оцінки відповідності про невідповідність аудиторського звіту у разі документального підтвердження органу з оцінки відповідності, що корекційні дії потребують більш довгого періоду ч</w:t>
      </w:r>
      <w:r w:rsidR="00140328">
        <w:rPr>
          <w:rFonts w:ascii="Times New Roman" w:eastAsia="Times New Roman" w:hAnsi="Times New Roman" w:cs="Times New Roman"/>
          <w:sz w:val="28"/>
          <w:szCs w:val="28"/>
        </w:rPr>
        <w:t>асу у зв’язку з їх складністю.”.</w:t>
      </w:r>
    </w:p>
    <w:p w14:paraId="6990B5C8" w14:textId="01D11D43" w:rsidR="00AD7962" w:rsidRPr="008E21D6" w:rsidRDefault="00F61873"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140328">
        <w:rPr>
          <w:rFonts w:ascii="Times New Roman" w:eastAsia="Times New Roman" w:hAnsi="Times New Roman" w:cs="Times New Roman"/>
          <w:sz w:val="28"/>
          <w:szCs w:val="28"/>
        </w:rPr>
        <w:t>.</w:t>
      </w:r>
      <w:r w:rsidR="00AD7962" w:rsidRPr="008E21D6">
        <w:rPr>
          <w:rFonts w:ascii="Times New Roman" w:eastAsia="Times New Roman" w:hAnsi="Times New Roman" w:cs="Times New Roman"/>
          <w:sz w:val="28"/>
          <w:szCs w:val="28"/>
        </w:rPr>
        <w:t> </w:t>
      </w:r>
      <w:r w:rsidR="00140328">
        <w:rPr>
          <w:rFonts w:ascii="Times New Roman" w:eastAsia="Times New Roman" w:hAnsi="Times New Roman" w:cs="Times New Roman"/>
          <w:sz w:val="28"/>
          <w:szCs w:val="28"/>
        </w:rPr>
        <w:t>У</w:t>
      </w:r>
      <w:r w:rsidR="00AD7962" w:rsidRPr="008E21D6">
        <w:rPr>
          <w:rFonts w:ascii="Times New Roman" w:eastAsia="Times New Roman" w:hAnsi="Times New Roman" w:cs="Times New Roman"/>
          <w:sz w:val="28"/>
          <w:szCs w:val="28"/>
        </w:rPr>
        <w:t xml:space="preserve"> пункті 10:</w:t>
      </w:r>
    </w:p>
    <w:p w14:paraId="6F9AAA59" w14:textId="77777777"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підпункт 2 викласти в такій редакції:</w:t>
      </w:r>
    </w:p>
    <w:p w14:paraId="1B85F95E" w14:textId="77777777" w:rsidR="00AD7962" w:rsidRPr="008E21D6" w:rsidRDefault="00AD7962" w:rsidP="00AD7962">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 xml:space="preserve">“2) про невідповідність об’єкта оцінки відповідності </w:t>
      </w:r>
      <w:hyperlink r:id="rId8" w:anchor="n13">
        <w:r w:rsidRPr="008E21D6">
          <w:rPr>
            <w:rFonts w:ascii="Times New Roman" w:eastAsia="Times New Roman" w:hAnsi="Times New Roman" w:cs="Times New Roman"/>
            <w:sz w:val="28"/>
            <w:szCs w:val="28"/>
          </w:rPr>
          <w:t>вимогам у сфері електронних довірчих послуг</w:t>
        </w:r>
      </w:hyperlink>
      <w:r w:rsidRPr="008E21D6">
        <w:rPr>
          <w:rFonts w:ascii="Times New Roman" w:eastAsia="Times New Roman" w:hAnsi="Times New Roman" w:cs="Times New Roman"/>
          <w:sz w:val="28"/>
          <w:szCs w:val="28"/>
        </w:rPr>
        <w:t>.”;</w:t>
      </w:r>
    </w:p>
    <w:p w14:paraId="7DBC4750" w14:textId="29E23A9A" w:rsidR="00AD7962" w:rsidRPr="008E21D6" w:rsidRDefault="00140328"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підпункт 3 виключити.</w:t>
      </w:r>
    </w:p>
    <w:p w14:paraId="3B08C2CC" w14:textId="4E5C464A" w:rsidR="00AD7962" w:rsidRPr="008E21D6" w:rsidRDefault="00F61873"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140328">
        <w:rPr>
          <w:rFonts w:ascii="Times New Roman" w:eastAsia="Times New Roman" w:hAnsi="Times New Roman" w:cs="Times New Roman"/>
          <w:sz w:val="28"/>
          <w:szCs w:val="28"/>
        </w:rPr>
        <w:t>. Пункти 12 – 14 виключити.</w:t>
      </w:r>
    </w:p>
    <w:p w14:paraId="5A25D3F7" w14:textId="45017281" w:rsidR="00AD7962" w:rsidRPr="008E21D6" w:rsidRDefault="00F61873"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140328">
        <w:rPr>
          <w:rFonts w:ascii="Times New Roman" w:eastAsia="Times New Roman" w:hAnsi="Times New Roman" w:cs="Times New Roman"/>
          <w:sz w:val="28"/>
          <w:szCs w:val="28"/>
        </w:rPr>
        <w:t>.</w:t>
      </w:r>
      <w:r w:rsidR="00AD7962" w:rsidRPr="008E21D6">
        <w:rPr>
          <w:rFonts w:ascii="Times New Roman" w:eastAsia="Times New Roman" w:hAnsi="Times New Roman" w:cs="Times New Roman"/>
          <w:sz w:val="28"/>
          <w:szCs w:val="28"/>
        </w:rPr>
        <w:t> </w:t>
      </w:r>
      <w:r w:rsidR="00140328">
        <w:rPr>
          <w:rFonts w:ascii="Times New Roman" w:eastAsia="Times New Roman" w:hAnsi="Times New Roman" w:cs="Times New Roman"/>
          <w:sz w:val="28"/>
          <w:szCs w:val="28"/>
        </w:rPr>
        <w:t>Д</w:t>
      </w:r>
      <w:r w:rsidR="00AD7962" w:rsidRPr="008E21D6">
        <w:rPr>
          <w:rFonts w:ascii="Times New Roman" w:eastAsia="Times New Roman" w:hAnsi="Times New Roman" w:cs="Times New Roman"/>
          <w:sz w:val="28"/>
          <w:szCs w:val="28"/>
        </w:rPr>
        <w:t xml:space="preserve">оповнити Порядок після пункту 17 новим пунктом </w:t>
      </w:r>
      <w:r w:rsidR="00C13524">
        <w:rPr>
          <w:rFonts w:ascii="Times New Roman" w:eastAsia="Times New Roman" w:hAnsi="Times New Roman" w:cs="Times New Roman"/>
          <w:sz w:val="28"/>
          <w:szCs w:val="28"/>
        </w:rPr>
        <w:t>17</w:t>
      </w:r>
      <w:r w:rsidR="00C13524" w:rsidRPr="00C13524">
        <w:rPr>
          <w:rFonts w:ascii="Times New Roman" w:eastAsia="Times New Roman" w:hAnsi="Times New Roman" w:cs="Times New Roman"/>
          <w:sz w:val="28"/>
          <w:szCs w:val="28"/>
          <w:vertAlign w:val="superscript"/>
        </w:rPr>
        <w:t>1</w:t>
      </w:r>
      <w:r w:rsidR="00C13524">
        <w:rPr>
          <w:rFonts w:ascii="Times New Roman" w:eastAsia="Times New Roman" w:hAnsi="Times New Roman" w:cs="Times New Roman"/>
          <w:sz w:val="28"/>
          <w:szCs w:val="28"/>
        </w:rPr>
        <w:t xml:space="preserve"> </w:t>
      </w:r>
      <w:r w:rsidR="00AD7962" w:rsidRPr="008E21D6">
        <w:rPr>
          <w:rFonts w:ascii="Times New Roman" w:eastAsia="Times New Roman" w:hAnsi="Times New Roman" w:cs="Times New Roman"/>
          <w:sz w:val="28"/>
          <w:szCs w:val="28"/>
        </w:rPr>
        <w:t>такого змісту:</w:t>
      </w:r>
    </w:p>
    <w:p w14:paraId="05A439E9" w14:textId="10D8C479" w:rsidR="00AD7962" w:rsidRPr="008E21D6" w:rsidRDefault="00AD7962" w:rsidP="00BA6D95">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“17</w:t>
      </w:r>
      <w:r w:rsidRPr="008E21D6">
        <w:rPr>
          <w:rFonts w:ascii="Times New Roman" w:eastAsia="Times New Roman" w:hAnsi="Times New Roman" w:cs="Times New Roman"/>
          <w:sz w:val="28"/>
          <w:szCs w:val="28"/>
          <w:vertAlign w:val="superscript"/>
        </w:rPr>
        <w:t>1</w:t>
      </w:r>
      <w:r w:rsidRPr="008E21D6">
        <w:rPr>
          <w:rFonts w:ascii="Times New Roman" w:eastAsia="Times New Roman" w:hAnsi="Times New Roman" w:cs="Times New Roman"/>
          <w:sz w:val="28"/>
          <w:szCs w:val="28"/>
        </w:rPr>
        <w:t xml:space="preserve">. Орган з оцінки відповідності має визначити програму періодичного нагляду і повторної оцінки відповідності у сфері електронних довірчих послуг, яка включатиме </w:t>
      </w:r>
      <w:r w:rsidR="00BA6D95">
        <w:rPr>
          <w:rFonts w:ascii="Times New Roman" w:eastAsia="Times New Roman" w:hAnsi="Times New Roman" w:cs="Times New Roman"/>
          <w:sz w:val="28"/>
          <w:szCs w:val="28"/>
        </w:rPr>
        <w:t>виїзний захід</w:t>
      </w:r>
      <w:r w:rsidRPr="008E21D6">
        <w:rPr>
          <w:rFonts w:ascii="Times New Roman" w:eastAsia="Times New Roman" w:hAnsi="Times New Roman" w:cs="Times New Roman"/>
          <w:sz w:val="28"/>
          <w:szCs w:val="28"/>
        </w:rPr>
        <w:t xml:space="preserve"> для підтвердження того, що кваліфіковані надавачі електронних довірчих послуг і послуги, що ними надаються, продовжують відповідати вимогам у сф</w:t>
      </w:r>
      <w:r w:rsidR="00BA6D95">
        <w:rPr>
          <w:rFonts w:ascii="Times New Roman" w:eastAsia="Times New Roman" w:hAnsi="Times New Roman" w:cs="Times New Roman"/>
          <w:sz w:val="28"/>
          <w:szCs w:val="28"/>
        </w:rPr>
        <w:t>ері електронних довірчих послуг</w:t>
      </w:r>
      <w:r w:rsidR="00140328">
        <w:rPr>
          <w:rFonts w:ascii="Times New Roman" w:eastAsia="Times New Roman" w:hAnsi="Times New Roman" w:cs="Times New Roman"/>
          <w:sz w:val="28"/>
          <w:szCs w:val="28"/>
        </w:rPr>
        <w:t>.”.</w:t>
      </w:r>
    </w:p>
    <w:p w14:paraId="084E60C3" w14:textId="6392A5BD" w:rsidR="00AD7962" w:rsidRPr="008E21D6" w:rsidRDefault="00F61873" w:rsidP="00AD7962">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40328">
        <w:rPr>
          <w:rFonts w:ascii="Times New Roman" w:eastAsia="Times New Roman" w:hAnsi="Times New Roman" w:cs="Times New Roman"/>
          <w:sz w:val="28"/>
          <w:szCs w:val="28"/>
        </w:rPr>
        <w:t>.</w:t>
      </w:r>
      <w:r w:rsidR="00AD7962" w:rsidRPr="008E21D6">
        <w:rPr>
          <w:rFonts w:ascii="Times New Roman" w:eastAsia="Times New Roman" w:hAnsi="Times New Roman" w:cs="Times New Roman"/>
          <w:sz w:val="28"/>
          <w:szCs w:val="28"/>
        </w:rPr>
        <w:t> </w:t>
      </w:r>
      <w:r w:rsidR="00140328">
        <w:rPr>
          <w:rFonts w:ascii="Times New Roman" w:eastAsia="Times New Roman" w:hAnsi="Times New Roman" w:cs="Times New Roman"/>
          <w:sz w:val="28"/>
          <w:szCs w:val="28"/>
        </w:rPr>
        <w:t>П</w:t>
      </w:r>
      <w:r w:rsidR="00AD7962" w:rsidRPr="008E21D6">
        <w:rPr>
          <w:rFonts w:ascii="Times New Roman" w:eastAsia="Times New Roman" w:hAnsi="Times New Roman" w:cs="Times New Roman"/>
          <w:sz w:val="28"/>
          <w:szCs w:val="28"/>
        </w:rPr>
        <w:t>ункт 18 викласти в такій редакції:</w:t>
      </w:r>
    </w:p>
    <w:p w14:paraId="24772EAD" w14:textId="217D98B1" w:rsidR="000B535C" w:rsidRPr="008E21D6" w:rsidRDefault="00AD7962" w:rsidP="000B535C">
      <w:pPr>
        <w:spacing w:before="120" w:line="240" w:lineRule="auto"/>
        <w:ind w:firstLine="708"/>
        <w:jc w:val="both"/>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 xml:space="preserve">“18. Процедура повторної (позапланової) оцінки відповідності у сфері електронних довірчих послуг проводиться у разі наявності обставин, визначених у </w:t>
      </w:r>
      <w:r w:rsidR="000B535C" w:rsidRPr="008E21D6">
        <w:rPr>
          <w:rFonts w:ascii="Times New Roman" w:eastAsia="Times New Roman" w:hAnsi="Times New Roman" w:cs="Times New Roman"/>
          <w:sz w:val="28"/>
          <w:szCs w:val="28"/>
        </w:rPr>
        <w:t>стандарт</w:t>
      </w:r>
      <w:r w:rsidR="000B535C" w:rsidRPr="00D112B6">
        <w:rPr>
          <w:rFonts w:ascii="Times New Roman" w:eastAsia="Times New Roman" w:hAnsi="Times New Roman" w:cs="Times New Roman"/>
          <w:sz w:val="28"/>
          <w:szCs w:val="28"/>
        </w:rPr>
        <w:t>ах</w:t>
      </w:r>
      <w:r w:rsidR="000B535C" w:rsidRPr="008E21D6">
        <w:rPr>
          <w:rFonts w:ascii="Times New Roman" w:eastAsia="Times New Roman" w:hAnsi="Times New Roman" w:cs="Times New Roman"/>
          <w:sz w:val="28"/>
          <w:szCs w:val="28"/>
        </w:rPr>
        <w:t xml:space="preserve"> </w:t>
      </w:r>
      <w:r w:rsidR="000B535C" w:rsidRPr="00D112B6">
        <w:rPr>
          <w:rFonts w:ascii="Times New Roman" w:eastAsia="Times New Roman" w:hAnsi="Times New Roman" w:cs="Times New Roman"/>
          <w:sz w:val="28"/>
          <w:szCs w:val="28"/>
        </w:rPr>
        <w:t>ДСТУ ETSI EN 319 403-1:2021 та ДСТУ ETSI TS 119 403-2:2021</w:t>
      </w:r>
      <w:r w:rsidR="000B535C" w:rsidRPr="008E21D6">
        <w:rPr>
          <w:rFonts w:ascii="Times New Roman" w:eastAsia="Times New Roman" w:hAnsi="Times New Roman" w:cs="Times New Roman"/>
          <w:sz w:val="28"/>
          <w:szCs w:val="28"/>
        </w:rPr>
        <w:t>.</w:t>
      </w:r>
      <w:r w:rsidR="00FE73F2" w:rsidRPr="00CE2846">
        <w:rPr>
          <w:rFonts w:ascii="Times New Roman" w:eastAsia="Times New Roman" w:hAnsi="Times New Roman" w:cs="Times New Roman"/>
          <w:sz w:val="28"/>
          <w:szCs w:val="28"/>
        </w:rPr>
        <w:t>”</w:t>
      </w:r>
    </w:p>
    <w:p w14:paraId="57609092" w14:textId="137AD11E" w:rsidR="006C11D6" w:rsidRDefault="000C05CC" w:rsidP="008F57D4">
      <w:pPr>
        <w:spacing w:before="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r w:rsidR="006C11D6">
        <w:rPr>
          <w:rFonts w:ascii="Times New Roman" w:eastAsia="Times New Roman" w:hAnsi="Times New Roman" w:cs="Times New Roman"/>
          <w:sz w:val="28"/>
          <w:szCs w:val="28"/>
        </w:rPr>
        <w:t xml:space="preserve">У тексті Порядку </w:t>
      </w:r>
      <w:r w:rsidR="006C11D6" w:rsidRPr="008F57D4">
        <w:rPr>
          <w:rFonts w:ascii="Times New Roman" w:eastAsia="Times New Roman" w:hAnsi="Times New Roman" w:cs="Times New Roman"/>
          <w:sz w:val="28"/>
          <w:szCs w:val="28"/>
        </w:rPr>
        <w:t xml:space="preserve">слова </w:t>
      </w:r>
      <w:r w:rsidR="006C11D6" w:rsidRPr="008E21D6">
        <w:rPr>
          <w:rFonts w:ascii="Times New Roman" w:eastAsia="Times New Roman" w:hAnsi="Times New Roman" w:cs="Times New Roman"/>
          <w:sz w:val="28"/>
          <w:szCs w:val="28"/>
        </w:rPr>
        <w:t>“</w:t>
      </w:r>
      <w:r w:rsidR="006C11D6" w:rsidRPr="008F57D4">
        <w:rPr>
          <w:rFonts w:ascii="Times New Roman" w:eastAsia="Times New Roman" w:hAnsi="Times New Roman" w:cs="Times New Roman"/>
          <w:sz w:val="28"/>
          <w:szCs w:val="28"/>
        </w:rPr>
        <w:t>інформаційно-телекомунікаційна система</w:t>
      </w:r>
      <w:r w:rsidR="006C11D6" w:rsidRPr="008E21D6">
        <w:rPr>
          <w:rFonts w:ascii="Times New Roman" w:eastAsia="Times New Roman" w:hAnsi="Times New Roman" w:cs="Times New Roman"/>
          <w:sz w:val="28"/>
          <w:szCs w:val="28"/>
        </w:rPr>
        <w:t>”</w:t>
      </w:r>
      <w:r w:rsidR="006C11D6" w:rsidRPr="008F57D4">
        <w:rPr>
          <w:rFonts w:ascii="Times New Roman" w:eastAsia="Times New Roman" w:hAnsi="Times New Roman" w:cs="Times New Roman"/>
          <w:sz w:val="28"/>
          <w:szCs w:val="28"/>
        </w:rPr>
        <w:t xml:space="preserve"> у всіх відмінках та числах замінити словами </w:t>
      </w:r>
      <w:r w:rsidR="006C11D6" w:rsidRPr="008E21D6">
        <w:rPr>
          <w:rFonts w:ascii="Times New Roman" w:eastAsia="Times New Roman" w:hAnsi="Times New Roman" w:cs="Times New Roman"/>
          <w:sz w:val="28"/>
          <w:szCs w:val="28"/>
        </w:rPr>
        <w:t>“</w:t>
      </w:r>
      <w:r w:rsidR="006C11D6" w:rsidRPr="008F57D4">
        <w:rPr>
          <w:rFonts w:ascii="Times New Roman" w:eastAsia="Times New Roman" w:hAnsi="Times New Roman" w:cs="Times New Roman"/>
          <w:sz w:val="28"/>
          <w:szCs w:val="28"/>
        </w:rPr>
        <w:t>інформаційно-комунікаційна система</w:t>
      </w:r>
      <w:r w:rsidR="006C11D6" w:rsidRPr="008E21D6">
        <w:rPr>
          <w:rFonts w:ascii="Times New Roman" w:eastAsia="Times New Roman" w:hAnsi="Times New Roman" w:cs="Times New Roman"/>
          <w:sz w:val="28"/>
          <w:szCs w:val="28"/>
        </w:rPr>
        <w:t>”</w:t>
      </w:r>
      <w:r w:rsidR="006C11D6" w:rsidRPr="008F57D4">
        <w:rPr>
          <w:rFonts w:ascii="Times New Roman" w:eastAsia="Times New Roman" w:hAnsi="Times New Roman" w:cs="Times New Roman"/>
          <w:sz w:val="28"/>
          <w:szCs w:val="28"/>
        </w:rPr>
        <w:t xml:space="preserve"> у</w:t>
      </w:r>
      <w:r w:rsidR="006C11D6">
        <w:rPr>
          <w:rFonts w:ascii="Times New Roman" w:eastAsia="Times New Roman" w:hAnsi="Times New Roman" w:cs="Times New Roman"/>
          <w:sz w:val="28"/>
          <w:szCs w:val="28"/>
        </w:rPr>
        <w:t xml:space="preserve"> відповідному відмінку та числі.</w:t>
      </w:r>
    </w:p>
    <w:p w14:paraId="1005C0E0" w14:textId="77777777" w:rsidR="009F1B9D" w:rsidRPr="008E21D6" w:rsidRDefault="009F1B9D" w:rsidP="00714A5A">
      <w:pPr>
        <w:spacing w:before="120" w:line="240" w:lineRule="auto"/>
        <w:ind w:firstLine="708"/>
        <w:jc w:val="both"/>
        <w:rPr>
          <w:rFonts w:ascii="Times New Roman" w:eastAsia="Times New Roman" w:hAnsi="Times New Roman" w:cs="Times New Roman"/>
          <w:sz w:val="28"/>
          <w:szCs w:val="28"/>
        </w:rPr>
      </w:pPr>
    </w:p>
    <w:p w14:paraId="0F77B7DA" w14:textId="05548C9C" w:rsidR="00801920" w:rsidRPr="00CA370D" w:rsidRDefault="00801920" w:rsidP="00631056">
      <w:pPr>
        <w:spacing w:before="120" w:line="240" w:lineRule="auto"/>
        <w:jc w:val="center"/>
        <w:rPr>
          <w:rFonts w:ascii="Times New Roman" w:eastAsia="Times New Roman" w:hAnsi="Times New Roman" w:cs="Times New Roman"/>
          <w:sz w:val="28"/>
          <w:szCs w:val="28"/>
        </w:rPr>
      </w:pPr>
      <w:r w:rsidRPr="008E21D6">
        <w:rPr>
          <w:rFonts w:ascii="Times New Roman" w:eastAsia="Times New Roman" w:hAnsi="Times New Roman" w:cs="Times New Roman"/>
          <w:sz w:val="28"/>
          <w:szCs w:val="28"/>
        </w:rPr>
        <w:t>_____________________</w:t>
      </w:r>
    </w:p>
    <w:sectPr w:rsidR="00801920" w:rsidRPr="00CA370D" w:rsidSect="00335187">
      <w:headerReference w:type="default" r:id="rId9"/>
      <w:footerReference w:type="first" r:id="rId10"/>
      <w:pgSz w:w="11909" w:h="16834"/>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120B" w14:textId="77777777" w:rsidR="00421395" w:rsidRDefault="00421395" w:rsidP="001A1E87">
      <w:pPr>
        <w:spacing w:line="240" w:lineRule="auto"/>
      </w:pPr>
      <w:r>
        <w:separator/>
      </w:r>
    </w:p>
  </w:endnote>
  <w:endnote w:type="continuationSeparator" w:id="0">
    <w:p w14:paraId="29786498" w14:textId="77777777" w:rsidR="00421395" w:rsidRDefault="00421395" w:rsidP="001A1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DB21" w14:textId="6DE67F3D" w:rsidR="00371326" w:rsidRDefault="00371326">
    <w:pPr>
      <w:pStyle w:val="a7"/>
    </w:pPr>
  </w:p>
  <w:p w14:paraId="3EAC49E9" w14:textId="729C4822" w:rsidR="00371326" w:rsidRDefault="00371326">
    <w:pPr>
      <w:pStyle w:val="a7"/>
    </w:pPr>
  </w:p>
  <w:p w14:paraId="70882E0B" w14:textId="335B5934" w:rsidR="00371326" w:rsidRDefault="00371326">
    <w:pPr>
      <w:pStyle w:val="a7"/>
    </w:pPr>
  </w:p>
  <w:p w14:paraId="5279E772" w14:textId="29B0EC2A" w:rsidR="00371326" w:rsidRDefault="00371326">
    <w:pPr>
      <w:pStyle w:val="a7"/>
    </w:pPr>
  </w:p>
  <w:p w14:paraId="0360C261" w14:textId="77777777" w:rsidR="00371326" w:rsidRDefault="003713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492B" w14:textId="77777777" w:rsidR="00421395" w:rsidRDefault="00421395" w:rsidP="001A1E87">
      <w:pPr>
        <w:spacing w:line="240" w:lineRule="auto"/>
      </w:pPr>
      <w:r>
        <w:separator/>
      </w:r>
    </w:p>
  </w:footnote>
  <w:footnote w:type="continuationSeparator" w:id="0">
    <w:p w14:paraId="291B4CD9" w14:textId="77777777" w:rsidR="00421395" w:rsidRDefault="00421395" w:rsidP="001A1E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53095"/>
      <w:docPartObj>
        <w:docPartGallery w:val="Page Numbers (Top of Page)"/>
        <w:docPartUnique/>
      </w:docPartObj>
    </w:sdtPr>
    <w:sdtEndPr>
      <w:rPr>
        <w:rFonts w:ascii="Times New Roman" w:hAnsi="Times New Roman" w:cs="Times New Roman"/>
        <w:sz w:val="28"/>
        <w:szCs w:val="28"/>
      </w:rPr>
    </w:sdtEndPr>
    <w:sdtContent>
      <w:p w14:paraId="0FE66CDC" w14:textId="3E410091" w:rsidR="001A1E87" w:rsidRPr="000E00CA" w:rsidRDefault="001A1E87">
        <w:pPr>
          <w:pStyle w:val="a5"/>
          <w:jc w:val="center"/>
          <w:rPr>
            <w:rFonts w:ascii="Times New Roman" w:hAnsi="Times New Roman" w:cs="Times New Roman"/>
            <w:sz w:val="28"/>
            <w:szCs w:val="28"/>
          </w:rPr>
        </w:pPr>
        <w:r w:rsidRPr="000E00CA">
          <w:rPr>
            <w:rFonts w:ascii="Times New Roman" w:hAnsi="Times New Roman" w:cs="Times New Roman"/>
            <w:sz w:val="28"/>
            <w:szCs w:val="28"/>
          </w:rPr>
          <w:fldChar w:fldCharType="begin"/>
        </w:r>
        <w:r w:rsidRPr="000E00CA">
          <w:rPr>
            <w:rFonts w:ascii="Times New Roman" w:hAnsi="Times New Roman" w:cs="Times New Roman"/>
            <w:sz w:val="28"/>
            <w:szCs w:val="28"/>
          </w:rPr>
          <w:instrText>PAGE   \* MERGEFORMAT</w:instrText>
        </w:r>
        <w:r w:rsidRPr="000E00CA">
          <w:rPr>
            <w:rFonts w:ascii="Times New Roman" w:hAnsi="Times New Roman" w:cs="Times New Roman"/>
            <w:sz w:val="28"/>
            <w:szCs w:val="28"/>
          </w:rPr>
          <w:fldChar w:fldCharType="separate"/>
        </w:r>
        <w:r w:rsidR="005632B9">
          <w:rPr>
            <w:rFonts w:ascii="Times New Roman" w:hAnsi="Times New Roman" w:cs="Times New Roman"/>
            <w:noProof/>
            <w:sz w:val="28"/>
            <w:szCs w:val="28"/>
          </w:rPr>
          <w:t>3</w:t>
        </w:r>
        <w:r w:rsidRPr="000E00CA">
          <w:rPr>
            <w:rFonts w:ascii="Times New Roman" w:hAnsi="Times New Roman" w:cs="Times New Roman"/>
            <w:sz w:val="28"/>
            <w:szCs w:val="28"/>
          </w:rPr>
          <w:fldChar w:fldCharType="end"/>
        </w:r>
      </w:p>
    </w:sdtContent>
  </w:sdt>
  <w:p w14:paraId="51F49E3D" w14:textId="77777777" w:rsidR="001A1E87" w:rsidRDefault="001A1E8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CA"/>
    <w:rsid w:val="00032A0C"/>
    <w:rsid w:val="00032D8C"/>
    <w:rsid w:val="00045AA5"/>
    <w:rsid w:val="000B535C"/>
    <w:rsid w:val="000C05CC"/>
    <w:rsid w:val="000E00CA"/>
    <w:rsid w:val="000E5086"/>
    <w:rsid w:val="00140328"/>
    <w:rsid w:val="00150F48"/>
    <w:rsid w:val="00186B97"/>
    <w:rsid w:val="00194FB9"/>
    <w:rsid w:val="00195980"/>
    <w:rsid w:val="001A16DD"/>
    <w:rsid w:val="001A1E87"/>
    <w:rsid w:val="001F2622"/>
    <w:rsid w:val="002118C5"/>
    <w:rsid w:val="00226531"/>
    <w:rsid w:val="002D26CB"/>
    <w:rsid w:val="00324934"/>
    <w:rsid w:val="00335187"/>
    <w:rsid w:val="00371326"/>
    <w:rsid w:val="003A6FB0"/>
    <w:rsid w:val="003D55BD"/>
    <w:rsid w:val="003E24C3"/>
    <w:rsid w:val="00421395"/>
    <w:rsid w:val="00423165"/>
    <w:rsid w:val="00423716"/>
    <w:rsid w:val="00451F03"/>
    <w:rsid w:val="004732A9"/>
    <w:rsid w:val="00477400"/>
    <w:rsid w:val="00495D8F"/>
    <w:rsid w:val="004E79CA"/>
    <w:rsid w:val="00504744"/>
    <w:rsid w:val="00515912"/>
    <w:rsid w:val="00520409"/>
    <w:rsid w:val="00530E0A"/>
    <w:rsid w:val="005632B9"/>
    <w:rsid w:val="005658D8"/>
    <w:rsid w:val="005B2971"/>
    <w:rsid w:val="005D2F1D"/>
    <w:rsid w:val="006109DA"/>
    <w:rsid w:val="006224B5"/>
    <w:rsid w:val="00631056"/>
    <w:rsid w:val="00636FAA"/>
    <w:rsid w:val="00684679"/>
    <w:rsid w:val="006C11D6"/>
    <w:rsid w:val="006F1D82"/>
    <w:rsid w:val="00714A5A"/>
    <w:rsid w:val="00770CE7"/>
    <w:rsid w:val="00785366"/>
    <w:rsid w:val="0078635C"/>
    <w:rsid w:val="00797EC9"/>
    <w:rsid w:val="007A27FE"/>
    <w:rsid w:val="007A3F67"/>
    <w:rsid w:val="007A6A20"/>
    <w:rsid w:val="007C5970"/>
    <w:rsid w:val="007D71E6"/>
    <w:rsid w:val="007E7AB6"/>
    <w:rsid w:val="00801920"/>
    <w:rsid w:val="008118B7"/>
    <w:rsid w:val="00824A45"/>
    <w:rsid w:val="00843EFB"/>
    <w:rsid w:val="00880462"/>
    <w:rsid w:val="008876DE"/>
    <w:rsid w:val="008932C1"/>
    <w:rsid w:val="008A4C9E"/>
    <w:rsid w:val="008D5F4D"/>
    <w:rsid w:val="008D71CA"/>
    <w:rsid w:val="008E21D6"/>
    <w:rsid w:val="008E5F39"/>
    <w:rsid w:val="008F540B"/>
    <w:rsid w:val="008F57D4"/>
    <w:rsid w:val="00932E6A"/>
    <w:rsid w:val="009B2674"/>
    <w:rsid w:val="009F1B9D"/>
    <w:rsid w:val="009F1F12"/>
    <w:rsid w:val="00A13B84"/>
    <w:rsid w:val="00A25C05"/>
    <w:rsid w:val="00AC7497"/>
    <w:rsid w:val="00AD7962"/>
    <w:rsid w:val="00B01075"/>
    <w:rsid w:val="00B53805"/>
    <w:rsid w:val="00B54601"/>
    <w:rsid w:val="00B554C2"/>
    <w:rsid w:val="00B87976"/>
    <w:rsid w:val="00BA43AC"/>
    <w:rsid w:val="00BA6D95"/>
    <w:rsid w:val="00BF5586"/>
    <w:rsid w:val="00C13524"/>
    <w:rsid w:val="00CA2E84"/>
    <w:rsid w:val="00CA370D"/>
    <w:rsid w:val="00CC4EC3"/>
    <w:rsid w:val="00CE2846"/>
    <w:rsid w:val="00D02B1C"/>
    <w:rsid w:val="00D112B6"/>
    <w:rsid w:val="00D16E63"/>
    <w:rsid w:val="00D6169D"/>
    <w:rsid w:val="00D81CB1"/>
    <w:rsid w:val="00D95AB4"/>
    <w:rsid w:val="00DA33F5"/>
    <w:rsid w:val="00DA6ACF"/>
    <w:rsid w:val="00DE6DD2"/>
    <w:rsid w:val="00E364B3"/>
    <w:rsid w:val="00E6617E"/>
    <w:rsid w:val="00E67213"/>
    <w:rsid w:val="00E71857"/>
    <w:rsid w:val="00E80E09"/>
    <w:rsid w:val="00E95D18"/>
    <w:rsid w:val="00EB14F6"/>
    <w:rsid w:val="00EF3F1D"/>
    <w:rsid w:val="00F14E4B"/>
    <w:rsid w:val="00F25C73"/>
    <w:rsid w:val="00F26B69"/>
    <w:rsid w:val="00F31187"/>
    <w:rsid w:val="00F44576"/>
    <w:rsid w:val="00F61873"/>
    <w:rsid w:val="00F86479"/>
    <w:rsid w:val="00FA0BE2"/>
    <w:rsid w:val="00FE73F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ABA0"/>
  <w15:docId w15:val="{AFF8014E-F37C-46EF-B5FC-832C21A8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1A1E87"/>
    <w:pPr>
      <w:tabs>
        <w:tab w:val="center" w:pos="4677"/>
        <w:tab w:val="right" w:pos="9355"/>
      </w:tabs>
      <w:spacing w:line="240" w:lineRule="auto"/>
    </w:pPr>
  </w:style>
  <w:style w:type="character" w:customStyle="1" w:styleId="a6">
    <w:name w:val="Верхній колонтитул Знак"/>
    <w:basedOn w:val="a0"/>
    <w:link w:val="a5"/>
    <w:uiPriority w:val="99"/>
    <w:rsid w:val="001A1E87"/>
  </w:style>
  <w:style w:type="paragraph" w:styleId="a7">
    <w:name w:val="footer"/>
    <w:basedOn w:val="a"/>
    <w:link w:val="a8"/>
    <w:uiPriority w:val="99"/>
    <w:unhideWhenUsed/>
    <w:rsid w:val="001A1E87"/>
    <w:pPr>
      <w:tabs>
        <w:tab w:val="center" w:pos="4677"/>
        <w:tab w:val="right" w:pos="9355"/>
      </w:tabs>
      <w:spacing w:line="240" w:lineRule="auto"/>
    </w:pPr>
  </w:style>
  <w:style w:type="character" w:customStyle="1" w:styleId="a8">
    <w:name w:val="Нижній колонтитул Знак"/>
    <w:basedOn w:val="a0"/>
    <w:link w:val="a7"/>
    <w:uiPriority w:val="99"/>
    <w:rsid w:val="001A1E87"/>
  </w:style>
  <w:style w:type="paragraph" w:styleId="a9">
    <w:name w:val="List Paragraph"/>
    <w:basedOn w:val="a"/>
    <w:uiPriority w:val="34"/>
    <w:qFormat/>
    <w:rsid w:val="00770CE7"/>
    <w:pPr>
      <w:ind w:left="720"/>
      <w:contextualSpacing/>
    </w:pPr>
  </w:style>
  <w:style w:type="character" w:styleId="aa">
    <w:name w:val="annotation reference"/>
    <w:basedOn w:val="a0"/>
    <w:uiPriority w:val="99"/>
    <w:semiHidden/>
    <w:unhideWhenUsed/>
    <w:rsid w:val="00B54601"/>
    <w:rPr>
      <w:sz w:val="16"/>
      <w:szCs w:val="16"/>
    </w:rPr>
  </w:style>
  <w:style w:type="paragraph" w:styleId="ab">
    <w:name w:val="annotation text"/>
    <w:basedOn w:val="a"/>
    <w:link w:val="ac"/>
    <w:uiPriority w:val="99"/>
    <w:semiHidden/>
    <w:unhideWhenUsed/>
    <w:rsid w:val="00B54601"/>
    <w:pPr>
      <w:spacing w:line="240" w:lineRule="auto"/>
    </w:pPr>
    <w:rPr>
      <w:sz w:val="20"/>
      <w:szCs w:val="20"/>
    </w:rPr>
  </w:style>
  <w:style w:type="character" w:customStyle="1" w:styleId="ac">
    <w:name w:val="Текст примітки Знак"/>
    <w:basedOn w:val="a0"/>
    <w:link w:val="ab"/>
    <w:uiPriority w:val="99"/>
    <w:semiHidden/>
    <w:rsid w:val="00B54601"/>
    <w:rPr>
      <w:sz w:val="20"/>
      <w:szCs w:val="20"/>
    </w:rPr>
  </w:style>
  <w:style w:type="paragraph" w:styleId="ad">
    <w:name w:val="annotation subject"/>
    <w:basedOn w:val="ab"/>
    <w:next w:val="ab"/>
    <w:link w:val="ae"/>
    <w:uiPriority w:val="99"/>
    <w:semiHidden/>
    <w:unhideWhenUsed/>
    <w:rsid w:val="00B54601"/>
    <w:rPr>
      <w:b/>
      <w:bCs/>
    </w:rPr>
  </w:style>
  <w:style w:type="character" w:customStyle="1" w:styleId="ae">
    <w:name w:val="Тема примітки Знак"/>
    <w:basedOn w:val="ac"/>
    <w:link w:val="ad"/>
    <w:uiPriority w:val="99"/>
    <w:semiHidden/>
    <w:rsid w:val="00B54601"/>
    <w:rPr>
      <w:b/>
      <w:bCs/>
      <w:sz w:val="20"/>
      <w:szCs w:val="20"/>
    </w:rPr>
  </w:style>
  <w:style w:type="paragraph" w:styleId="af">
    <w:name w:val="Balloon Text"/>
    <w:basedOn w:val="a"/>
    <w:link w:val="af0"/>
    <w:uiPriority w:val="99"/>
    <w:semiHidden/>
    <w:unhideWhenUsed/>
    <w:rsid w:val="008F57D4"/>
    <w:pPr>
      <w:spacing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8F5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2-2018-%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qzisbS5Lr27f/1Cs63a0YSyOiA==">AMUW2mUIh47aQlEYhPop14hsW6oYS7Gti5lzQ6T3ySBNax4Ge+d1fHe5qs2BOqGpmyx3JKU9xL+uFe3BBbyGkRI79SPnadMdnZj9e0pQ4FFVh+GFV1K2knc6VwDG335u1j4rsasN/FoO</go:docsCustomData>
</go:gDocsCustomXmlDataStorage>
</file>

<file path=customXml/itemProps1.xml><?xml version="1.0" encoding="utf-8"?>
<ds:datastoreItem xmlns:ds="http://schemas.openxmlformats.org/officeDocument/2006/customXml" ds:itemID="{8360FE62-1777-4DF6-BE88-9880BE6A9A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4096</Words>
  <Characters>2335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2022-12-16T14:18:00Z</dcterms:created>
  <dcterms:modified xsi:type="dcterms:W3CDTF">2022-12-16T14:18:00Z</dcterms:modified>
</cp:coreProperties>
</file>