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5244"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ЗАТВЕРДЖЕНО</w:t>
      </w:r>
    </w:p>
    <w:p w:rsidR="00000000" w:rsidDel="00000000" w:rsidP="00000000" w:rsidRDefault="00000000" w:rsidRPr="00000000" w14:paraId="00000002">
      <w:pPr>
        <w:spacing w:after="0" w:line="240" w:lineRule="auto"/>
        <w:ind w:left="5244"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постановою Кабінету Міністрів України</w:t>
      </w:r>
    </w:p>
    <w:p w:rsidR="00000000" w:rsidDel="00000000" w:rsidP="00000000" w:rsidRDefault="00000000" w:rsidRPr="00000000" w14:paraId="00000003">
      <w:pPr>
        <w:spacing w:after="0" w:line="240" w:lineRule="auto"/>
        <w:ind w:left="5244"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 ___________ 2025 р. № _____</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center"/>
        <w:rPr>
          <w:rFonts w:ascii="Times New Roman" w:cs="Times New Roman" w:eastAsia="Times New Roman" w:hAnsi="Times New Roman"/>
          <w:b w:val="1"/>
          <w:color w:val="000000"/>
          <w:sz w:val="28"/>
          <w:szCs w:val="28"/>
        </w:rPr>
      </w:pPr>
      <w:bookmarkStart w:colFirst="0" w:colLast="0" w:name="_heading=h.tf6r51b7m5ee" w:id="0"/>
      <w:bookmarkEnd w:id="0"/>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jc w:val="center"/>
        <w:rPr>
          <w:rFonts w:ascii="Times New Roman" w:cs="Times New Roman" w:eastAsia="Times New Roman" w:hAnsi="Times New Roman"/>
          <w:b w:val="1"/>
          <w:color w:val="000000"/>
          <w:sz w:val="28"/>
          <w:szCs w:val="28"/>
        </w:rPr>
      </w:pPr>
      <w:bookmarkStart w:colFirst="0" w:colLast="0" w:name="_heading=h.32fyshr45u2" w:id="1"/>
      <w:bookmarkEnd w:id="1"/>
      <w:r w:rsidDel="00000000" w:rsidR="00000000" w:rsidRPr="00000000">
        <w:rPr>
          <w:rFonts w:ascii="Times New Roman" w:cs="Times New Roman" w:eastAsia="Times New Roman" w:hAnsi="Times New Roman"/>
          <w:b w:val="1"/>
          <w:color w:val="000000"/>
          <w:sz w:val="28"/>
          <w:szCs w:val="28"/>
          <w:rtl w:val="0"/>
        </w:rPr>
        <w:t xml:space="preserve">ПОРЯДОК</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firstLine="460"/>
        <w:jc w:val="center"/>
        <w:rPr>
          <w:rFonts w:ascii="Times New Roman" w:cs="Times New Roman" w:eastAsia="Times New Roman" w:hAnsi="Times New Roman"/>
          <w:b w:val="1"/>
          <w:color w:val="000000"/>
          <w:sz w:val="28"/>
          <w:szCs w:val="28"/>
        </w:rPr>
      </w:pPr>
      <w:bookmarkStart w:colFirst="0" w:colLast="0" w:name="_heading=h.56z11ic7ja9l" w:id="2"/>
      <w:bookmarkEnd w:id="2"/>
      <w:r w:rsidDel="00000000" w:rsidR="00000000" w:rsidRPr="00000000">
        <w:rPr>
          <w:rFonts w:ascii="Times New Roman" w:cs="Times New Roman" w:eastAsia="Times New Roman" w:hAnsi="Times New Roman"/>
          <w:b w:val="1"/>
          <w:color w:val="000000"/>
          <w:sz w:val="28"/>
          <w:szCs w:val="28"/>
          <w:rtl w:val="0"/>
        </w:rPr>
        <w:t xml:space="preserve">використання поточних рахунків фізичних осіб у банках, до яких емітовано електронний платіжний засіб “Дія.Картка”, та відображення засобами Єдиного державного вебпорталу електронних послуг інформації про такі рахунки</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bookmarkStart w:colFirst="0" w:colLast="0" w:name="_heading=h.oa5ebxttqf1n" w:id="3"/>
      <w:bookmarkEnd w:id="3"/>
      <w:r w:rsidDel="00000000" w:rsidR="00000000" w:rsidRPr="00000000">
        <w:rPr>
          <w:rFonts w:ascii="Times New Roman" w:cs="Times New Roman" w:eastAsia="Times New Roman" w:hAnsi="Times New Roman"/>
          <w:color w:val="000000"/>
          <w:sz w:val="28"/>
          <w:szCs w:val="28"/>
          <w:rtl w:val="0"/>
        </w:rPr>
        <w:t xml:space="preserve">1. Цим Порядком визначається механізм використання поточних рахунків фізичних осіб у банках, до яких емітовано електронний платіжний засіб “Дія.Картка”, та відображення засобами Єдиного державного вебпорталу електронних послуг (далі – Портал Дія), зокрема з використанням мобільного додатку Порталу Дія (Дія), інформації про поточні рахунки фізичних осіб у банках, зокрема поточні рахунки із спеціальним режимом використання, до яких емітовано електронний платіжний засіб “Дія.Картка”.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У цьому Порядку під терміном “Дія.Картка” слід розуміти електронний платіжний засіб, що використовується для ініціювання фізичною особою операцій за поточними рах</w:t>
      </w:r>
      <w:r w:rsidDel="00000000" w:rsidR="00000000" w:rsidRPr="00000000">
        <w:rPr>
          <w:rFonts w:ascii="Times New Roman" w:cs="Times New Roman" w:eastAsia="Times New Roman" w:hAnsi="Times New Roman"/>
          <w:sz w:val="28"/>
          <w:szCs w:val="28"/>
          <w:rtl w:val="0"/>
        </w:rPr>
        <w:t xml:space="preserve">унками, зокрема поточними рахунками із спеціальним режимом використання</w:t>
      </w:r>
      <w:r w:rsidDel="00000000" w:rsidR="00000000" w:rsidRPr="00000000">
        <w:rPr>
          <w:rFonts w:ascii="Times New Roman" w:cs="Times New Roman" w:eastAsia="Times New Roman" w:hAnsi="Times New Roman"/>
          <w:sz w:val="28"/>
          <w:szCs w:val="28"/>
          <w:rtl w:val="0"/>
        </w:rPr>
        <w:t xml:space="preserve">, відкритими</w:t>
      </w:r>
      <w:r w:rsidDel="00000000" w:rsidR="00000000" w:rsidRPr="00000000">
        <w:rPr>
          <w:rFonts w:ascii="Times New Roman" w:cs="Times New Roman" w:eastAsia="Times New Roman" w:hAnsi="Times New Roman"/>
          <w:sz w:val="28"/>
          <w:szCs w:val="28"/>
          <w:rtl w:val="0"/>
        </w:rPr>
        <w:t xml:space="preserve"> для зарахування грошової допомоги, грошової компенсації, державної допомоги, виплати номінальної вартості та відсоткового доходу за облігаціями внутрі</w:t>
      </w:r>
      <w:r w:rsidDel="00000000" w:rsidR="00000000" w:rsidRPr="00000000">
        <w:rPr>
          <w:rFonts w:ascii="Times New Roman" w:cs="Times New Roman" w:eastAsia="Times New Roman" w:hAnsi="Times New Roman"/>
          <w:color w:val="000000"/>
          <w:sz w:val="28"/>
          <w:szCs w:val="28"/>
          <w:rtl w:val="0"/>
        </w:rPr>
        <w:t xml:space="preserve">шньої державної позики “Військові облігації”, пенсій, соціальної допомоги або інших виплат, </w:t>
      </w:r>
      <w:r w:rsidDel="00000000" w:rsidR="00000000" w:rsidRPr="00000000">
        <w:rPr>
          <w:rFonts w:ascii="Times New Roman" w:cs="Times New Roman" w:eastAsia="Times New Roman" w:hAnsi="Times New Roman"/>
          <w:color w:val="000000"/>
          <w:sz w:val="28"/>
          <w:szCs w:val="28"/>
          <w:rtl w:val="0"/>
        </w:rPr>
        <w:t xml:space="preserve">визначених законодавством,</w:t>
      </w:r>
      <w:r w:rsidDel="00000000" w:rsidR="00000000" w:rsidRPr="00000000">
        <w:rPr>
          <w:rFonts w:ascii="Times New Roman" w:cs="Times New Roman" w:eastAsia="Times New Roman" w:hAnsi="Times New Roman"/>
          <w:color w:val="000000"/>
          <w:sz w:val="28"/>
          <w:szCs w:val="28"/>
          <w:rtl w:val="0"/>
        </w:rPr>
        <w:t xml:space="preserve"> у тому числі отриманих у рамках допомоги від міжнародних організацій (далі – допомога).</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bookmarkStart w:colFirst="0" w:colLast="0" w:name="_heading=h.30j0zll" w:id="4"/>
      <w:bookmarkEnd w:id="4"/>
      <w:r w:rsidDel="00000000" w:rsidR="00000000" w:rsidRPr="00000000">
        <w:rPr>
          <w:rFonts w:ascii="Times New Roman" w:cs="Times New Roman" w:eastAsia="Times New Roman" w:hAnsi="Times New Roman"/>
          <w:color w:val="000000"/>
          <w:sz w:val="28"/>
          <w:szCs w:val="28"/>
          <w:rtl w:val="0"/>
        </w:rPr>
        <w:t xml:space="preserve">Інші терміни </w:t>
      </w:r>
      <w:r w:rsidDel="00000000" w:rsidR="00000000" w:rsidRPr="00000000">
        <w:rPr>
          <w:rFonts w:ascii="Times New Roman" w:cs="Times New Roman" w:eastAsia="Times New Roman" w:hAnsi="Times New Roman"/>
          <w:color w:val="000000"/>
          <w:sz w:val="28"/>
          <w:szCs w:val="28"/>
          <w:rtl w:val="0"/>
        </w:rPr>
        <w:t xml:space="preserve">у цьому Порядку</w:t>
      </w:r>
      <w:r w:rsidDel="00000000" w:rsidR="00000000" w:rsidRPr="00000000">
        <w:rPr>
          <w:rFonts w:ascii="Times New Roman" w:cs="Times New Roman" w:eastAsia="Times New Roman" w:hAnsi="Times New Roman"/>
          <w:color w:val="000000"/>
          <w:sz w:val="28"/>
          <w:szCs w:val="28"/>
          <w:rtl w:val="0"/>
        </w:rPr>
        <w:t xml:space="preserve"> вживаються у значеннях, наведених у Законах України “Про банки і банківську діяльність”, “Про платіжні послуги”, </w:t>
      </w:r>
      <w:r w:rsidDel="00000000" w:rsidR="00000000" w:rsidRPr="00000000">
        <w:rPr>
          <w:rFonts w:ascii="Times New Roman" w:cs="Times New Roman" w:eastAsia="Times New Roman" w:hAnsi="Times New Roman"/>
          <w:sz w:val="28"/>
          <w:szCs w:val="28"/>
          <w:rtl w:val="0"/>
        </w:rPr>
        <w:t xml:space="preserve">“Про особливості надання публічних (електронних публічних) послуг”</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“Про електронну ідентифікацію та електронні довірчі послуги”, “Про захист персональних даних”, “Про захист інформації в інформаційно-комунікаційних системах”, постановах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від 4 грудня 2019 р. № 1137 “Питання Єдиного державного вебпорталу електронних послуг та Реєстру адміністративних послуг” (Офіційний вісник України, 2020 р., № 3, ст. 136; 2022 р., № 69, ст. 4171).</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Інформація про поточні рахунки, зокрема поточні рахунки із спеціальним режимом використання, до яких емітовано Дія.Картку, відображається через мобільний додаток Порталу Дія (Дія), та доступна </w:t>
      </w:r>
      <w:r w:rsidDel="00000000" w:rsidR="00000000" w:rsidRPr="00000000">
        <w:rPr>
          <w:rFonts w:ascii="Times New Roman" w:cs="Times New Roman" w:eastAsia="Times New Roman" w:hAnsi="Times New Roman"/>
          <w:color w:val="000000"/>
          <w:sz w:val="28"/>
          <w:szCs w:val="28"/>
          <w:rtl w:val="0"/>
        </w:rPr>
        <w:t xml:space="preserve">фізичним особам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громадянам України, які досягли 18-річного віку, яким в установленому законодавством порядку присвоєно реєстраційний номер облікової картки платника податків та які мають в одному з банків України, з яким Мінцифри та технічним адміністратором Порталу Дія укладено відповідний договір інформаційної або електронної інформаційної взаємодії, Дія.Картку, в межах якої відкрито поточний рахунок для власних потреб, а також поточні рахунки із спеціальним режимом використання для зарахування допомоги.</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w:t>
      </w:r>
      <w:r w:rsidDel="00000000" w:rsidR="00000000" w:rsidRPr="00000000">
        <w:rPr>
          <w:rFonts w:ascii="Times New Roman" w:cs="Times New Roman" w:eastAsia="Times New Roman" w:hAnsi="Times New Roman"/>
          <w:sz w:val="28"/>
          <w:szCs w:val="28"/>
          <w:rtl w:val="0"/>
        </w:rPr>
        <w:t xml:space="preserve">Ф</w:t>
      </w:r>
      <w:r w:rsidDel="00000000" w:rsidR="00000000" w:rsidRPr="00000000">
        <w:rPr>
          <w:rFonts w:ascii="Times New Roman" w:cs="Times New Roman" w:eastAsia="Times New Roman" w:hAnsi="Times New Roman"/>
          <w:color w:val="000000"/>
          <w:sz w:val="28"/>
          <w:szCs w:val="28"/>
          <w:rtl w:val="0"/>
        </w:rPr>
        <w:t xml:space="preserve">ізична особа може відкрити поточний рахунок та за бажанням  </w:t>
      </w:r>
      <w:r w:rsidDel="00000000" w:rsidR="00000000" w:rsidRPr="00000000">
        <w:rPr>
          <w:rFonts w:ascii="Times New Roman" w:cs="Times New Roman" w:eastAsia="Times New Roman" w:hAnsi="Times New Roman"/>
          <w:sz w:val="28"/>
          <w:szCs w:val="28"/>
          <w:rtl w:val="0"/>
        </w:rPr>
        <w:t xml:space="preserve">один або декілька поточних рахунків із спеціальним режимом використання</w:t>
      </w:r>
      <w:r w:rsidDel="00000000" w:rsidR="00000000" w:rsidRPr="00000000">
        <w:rPr>
          <w:rFonts w:ascii="Times New Roman" w:cs="Times New Roman" w:eastAsia="Times New Roman" w:hAnsi="Times New Roman"/>
          <w:color w:val="000000"/>
          <w:sz w:val="28"/>
          <w:szCs w:val="28"/>
          <w:rtl w:val="0"/>
        </w:rPr>
        <w:t xml:space="preserve"> для зарахування допомоги в одному з банків України, з яким Мінцифри укладено відповідний договір інформаційної або електронної інформаційної взаємодії (далі – банк), зокрема ініціювати його відкриття за допомогою мобільного додатку Порталу Дія (Дія).</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Дія.Картка може використовуватися для ініціювання платіжних</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операцій за поточними рахунками із спеціальним режимом використання</w:t>
      </w:r>
      <w:r w:rsidDel="00000000" w:rsidR="00000000" w:rsidRPr="00000000">
        <w:rPr>
          <w:rFonts w:ascii="Times New Roman" w:cs="Times New Roman" w:eastAsia="Times New Roman" w:hAnsi="Times New Roman"/>
          <w:sz w:val="28"/>
          <w:szCs w:val="28"/>
          <w:rtl w:val="0"/>
        </w:rPr>
        <w:t xml:space="preserve">, відкритих</w:t>
      </w:r>
      <w:r w:rsidDel="00000000" w:rsidR="00000000" w:rsidRPr="00000000">
        <w:rPr>
          <w:rFonts w:ascii="Times New Roman" w:cs="Times New Roman" w:eastAsia="Times New Roman" w:hAnsi="Times New Roman"/>
          <w:sz w:val="28"/>
          <w:szCs w:val="28"/>
          <w:rtl w:val="0"/>
        </w:rPr>
        <w:t xml:space="preserve"> для зарахування допомог, визначених законодавством, що були відкриті фізичній ос</w:t>
      </w:r>
      <w:r w:rsidDel="00000000" w:rsidR="00000000" w:rsidRPr="00000000">
        <w:rPr>
          <w:rFonts w:ascii="Times New Roman" w:cs="Times New Roman" w:eastAsia="Times New Roman" w:hAnsi="Times New Roman"/>
          <w:color w:val="000000"/>
          <w:sz w:val="28"/>
          <w:szCs w:val="28"/>
          <w:rtl w:val="0"/>
        </w:rPr>
        <w:t xml:space="preserve">обі у відповідному банку.</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 Після відкриття ба</w:t>
      </w:r>
      <w:r w:rsidDel="00000000" w:rsidR="00000000" w:rsidRPr="00000000">
        <w:rPr>
          <w:rFonts w:ascii="Times New Roman" w:cs="Times New Roman" w:eastAsia="Times New Roman" w:hAnsi="Times New Roman"/>
          <w:sz w:val="28"/>
          <w:szCs w:val="28"/>
          <w:rtl w:val="0"/>
        </w:rPr>
        <w:t xml:space="preserve">нком фізичній особі поточного рахунку банк </w:t>
      </w:r>
      <w:r w:rsidDel="00000000" w:rsidR="00000000" w:rsidRPr="00000000">
        <w:rPr>
          <w:rFonts w:ascii="Times New Roman" w:cs="Times New Roman" w:eastAsia="Times New Roman" w:hAnsi="Times New Roman"/>
          <w:sz w:val="28"/>
          <w:szCs w:val="28"/>
          <w:rtl w:val="0"/>
        </w:rPr>
        <w:t xml:space="preserve">має право емітувати та надати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клієнту у користування Дія.Картку.</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strike w:val="1"/>
          <w:sz w:val="28"/>
          <w:szCs w:val="28"/>
          <w:shd w:fill="f4cccc" w:val="clear"/>
        </w:rPr>
      </w:pPr>
      <w:r w:rsidDel="00000000" w:rsidR="00000000" w:rsidRPr="00000000">
        <w:rPr>
          <w:rFonts w:ascii="Times New Roman" w:cs="Times New Roman" w:eastAsia="Times New Roman" w:hAnsi="Times New Roman"/>
          <w:sz w:val="28"/>
          <w:szCs w:val="28"/>
          <w:rtl w:val="0"/>
        </w:rPr>
        <w:t xml:space="preserve">У разі відкриття </w:t>
      </w:r>
      <w:r w:rsidDel="00000000" w:rsidR="00000000" w:rsidRPr="00000000">
        <w:rPr>
          <w:rFonts w:ascii="Times New Roman" w:cs="Times New Roman" w:eastAsia="Times New Roman" w:hAnsi="Times New Roman"/>
          <w:sz w:val="28"/>
          <w:szCs w:val="28"/>
          <w:rtl w:val="0"/>
        </w:rPr>
        <w:t xml:space="preserve">поточного рахунку із спеціальним режимом використання</w:t>
      </w:r>
      <w:r w:rsidDel="00000000" w:rsidR="00000000" w:rsidRPr="00000000">
        <w:rPr>
          <w:rFonts w:ascii="Times New Roman" w:cs="Times New Roman" w:eastAsia="Times New Roman" w:hAnsi="Times New Roman"/>
          <w:sz w:val="28"/>
          <w:szCs w:val="28"/>
          <w:rtl w:val="0"/>
        </w:rPr>
        <w:t xml:space="preserve"> платіжні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операції за таким рахунком</w:t>
      </w:r>
      <w:r w:rsidDel="00000000" w:rsidR="00000000" w:rsidRPr="00000000">
        <w:rPr>
          <w:rFonts w:ascii="Times New Roman" w:cs="Times New Roman" w:eastAsia="Times New Roman" w:hAnsi="Times New Roman"/>
          <w:sz w:val="28"/>
          <w:szCs w:val="28"/>
          <w:rtl w:val="0"/>
        </w:rPr>
        <w:t xml:space="preserve"> здійснюються за допомогою раніше емітованої Дія.Картки.</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У кожному із банків фізична особа може мати лише одну Дія.Картку.</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Одна Дія.Картка може використовуватися для здійснення операцій за одним поточним рахунком </w:t>
      </w:r>
      <w:r w:rsidDel="00000000" w:rsidR="00000000" w:rsidRPr="00000000">
        <w:rPr>
          <w:rFonts w:ascii="Times New Roman" w:cs="Times New Roman" w:eastAsia="Times New Roman" w:hAnsi="Times New Roman"/>
          <w:sz w:val="28"/>
          <w:szCs w:val="28"/>
          <w:rtl w:val="0"/>
        </w:rPr>
        <w:t xml:space="preserve">та, за</w:t>
      </w:r>
      <w:r w:rsidDel="00000000" w:rsidR="00000000" w:rsidRPr="00000000">
        <w:rPr>
          <w:rFonts w:ascii="Times New Roman" w:cs="Times New Roman" w:eastAsia="Times New Roman" w:hAnsi="Times New Roman"/>
          <w:color w:val="000000"/>
          <w:sz w:val="28"/>
          <w:szCs w:val="28"/>
          <w:rtl w:val="0"/>
        </w:rPr>
        <w:t xml:space="preserve"> бажанням фізичної особи один або декілька поточних рахунків із спеціальним режимом використання, у тому числі у межах надання однієї публічної (електронної публічної) послуги, для якої законодавством передбачено відкриття поточних рахунків із спеціальним режимом використання.</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Банк забезпечує накладення технічного обмеження на операції за поточним рахунком із спеціальним режимом використання відповідно до умов функціонування такого рахунку, встановлених законодавством та можливість налаштування фізичною особою пріоритизації поточного рахунку, з якого будуть списуватись кошти у разі недостатньої суми коштів на поточному рахунку зі спеціальним режимом використання для здійснення платіжної операції.</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випадках, коли під час здійснення однієї платіжної операції можливо використання коштів з двох і більше поточних рахунків із спеціальним режимом використання, на які накладено технічне обмеження відповідно до абзацу першого цього пункту, банк забезпечує можливість налаштування фізичною особою пріоритетності використання таких рахунків для покриття суми операції. </w:t>
      </w:r>
    </w:p>
    <w:p w:rsidR="00000000" w:rsidDel="00000000" w:rsidP="00000000" w:rsidRDefault="00000000" w:rsidRPr="00000000" w14:paraId="00000014">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Банк передає технічному адміністратору Порталу Дія інформацію про фізичну особу, якій випущена Дія.Картка та про відкриті банком поточні рахунки, у тому числі поточні рахунки із спеціальним режимом використання відповідно до умов договорів інформаційної або електронної інформаційної взаємодії та з дотриманням вимог законодавства.</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10. У мобільному додатку Портал</w:t>
      </w:r>
      <w:r w:rsidDel="00000000" w:rsidR="00000000" w:rsidRPr="00000000">
        <w:rPr>
          <w:rFonts w:ascii="Times New Roman" w:cs="Times New Roman" w:eastAsia="Times New Roman" w:hAnsi="Times New Roman"/>
          <w:sz w:val="28"/>
          <w:szCs w:val="28"/>
          <w:rtl w:val="0"/>
        </w:rPr>
        <w:t xml:space="preserve">у Дія (Дія) та </w:t>
      </w:r>
      <w:r w:rsidDel="00000000" w:rsidR="00000000" w:rsidRPr="00000000">
        <w:rPr>
          <w:rFonts w:ascii="Times New Roman" w:cs="Times New Roman" w:eastAsia="Times New Roman" w:hAnsi="Times New Roman"/>
          <w:sz w:val="28"/>
          <w:szCs w:val="28"/>
          <w:rtl w:val="0"/>
        </w:rPr>
        <w:t xml:space="preserve">платіжному</w:t>
      </w:r>
      <w:r w:rsidDel="00000000" w:rsidR="00000000" w:rsidRPr="00000000">
        <w:rPr>
          <w:rFonts w:ascii="Times New Roman" w:cs="Times New Roman" w:eastAsia="Times New Roman" w:hAnsi="Times New Roman"/>
          <w:sz w:val="28"/>
          <w:szCs w:val="28"/>
          <w:rtl w:val="0"/>
        </w:rPr>
        <w:t xml:space="preserve"> застосунку банку (за наявності) в електронній формі </w:t>
      </w:r>
      <w:r w:rsidDel="00000000" w:rsidR="00000000" w:rsidRPr="00000000">
        <w:rPr>
          <w:rFonts w:ascii="Times New Roman" w:cs="Times New Roman" w:eastAsia="Times New Roman" w:hAnsi="Times New Roman"/>
          <w:sz w:val="28"/>
          <w:szCs w:val="28"/>
          <w:rtl w:val="0"/>
        </w:rPr>
        <w:t xml:space="preserve">відображаються</w:t>
      </w:r>
      <w:r w:rsidDel="00000000" w:rsidR="00000000" w:rsidRPr="00000000">
        <w:rPr>
          <w:rFonts w:ascii="Times New Roman" w:cs="Times New Roman" w:eastAsia="Times New Roman" w:hAnsi="Times New Roman"/>
          <w:sz w:val="28"/>
          <w:szCs w:val="28"/>
          <w:rtl w:val="0"/>
        </w:rPr>
        <w:t xml:space="preserve"> такі відомості стосовно Дія.Картк</w:t>
      </w:r>
      <w:r w:rsidDel="00000000" w:rsidR="00000000" w:rsidRPr="00000000">
        <w:rPr>
          <w:rFonts w:ascii="Times New Roman" w:cs="Times New Roman" w:eastAsia="Times New Roman" w:hAnsi="Times New Roman"/>
          <w:sz w:val="28"/>
          <w:szCs w:val="28"/>
          <w:rtl w:val="0"/>
        </w:rPr>
        <w:t xml:space="preserve">и</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поточного рахунка, у тому числі поточного рахунку із спеціальним режимом використанням, на який зараховано допомогу;</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Дія.Картки (у скороченому форматі: перші та останні 4 символи); </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строк дії Дія.Картки;</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вид</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допомоги;</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сума нарахованої допомоги.</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відображення засобами Порталу Дія, зокрема з використанням мобільного додатку Порталу Дія (Дія) інформації про поточні рахунки фізичних осіб у банках, у тому числі поточні рахунки із спеціальним режимом використання, використовується інформація, передана банками.</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За бажанням фізична особа може замовити Дія.Картку у формі пластикової картки. Послуги банку, пов’язані з відкриттям, закриттям та обслуговуванням поточного рахунка із спеціальним режимом використання, а також емісії Ді.Картки надаються безоплатно. Послуги банку, пов’язані з обслуговуванням поточного рахунку, надаються відповідно до умов, встановлених банк</w:t>
      </w:r>
      <w:r w:rsidDel="00000000" w:rsidR="00000000" w:rsidRPr="00000000">
        <w:rPr>
          <w:rFonts w:ascii="Times New Roman" w:cs="Times New Roman" w:eastAsia="Times New Roman" w:hAnsi="Times New Roman"/>
          <w:sz w:val="28"/>
          <w:szCs w:val="28"/>
          <w:rtl w:val="0"/>
        </w:rPr>
        <w:t xml:space="preserve">ом</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Поточні рахунки, у тому числі поточні рахунки із спеціальним режимом використання, закриваються банком за заявою фізичної особи, або у інших випадках, передбачених законодавством та умовами договору укладеного між фізичною особою та банком. </w:t>
      </w:r>
    </w:p>
    <w:p w:rsidR="00000000" w:rsidDel="00000000" w:rsidP="00000000" w:rsidRDefault="00000000" w:rsidRPr="00000000" w14:paraId="0000001E">
      <w:pP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Банк щоденно передає технічному адміністратору Порталу Дія інформацію про:</w:t>
      </w:r>
    </w:p>
    <w:p w:rsidR="00000000" w:rsidDel="00000000" w:rsidP="00000000" w:rsidRDefault="00000000" w:rsidRPr="00000000" w14:paraId="0000001F">
      <w:pPr>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відкриті та закриті поточні рахунки  фізичн</w:t>
      </w:r>
      <w:r w:rsidDel="00000000" w:rsidR="00000000" w:rsidRPr="00000000">
        <w:rPr>
          <w:rFonts w:ascii="Times New Roman" w:cs="Times New Roman" w:eastAsia="Times New Roman" w:hAnsi="Times New Roman"/>
          <w:sz w:val="28"/>
          <w:szCs w:val="28"/>
          <w:rtl w:val="0"/>
        </w:rPr>
        <w:t xml:space="preserve">их осіб у банк</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sz w:val="28"/>
          <w:szCs w:val="28"/>
          <w:rtl w:val="0"/>
        </w:rPr>
        <w:t xml:space="preserve">, у тому числі поточні рахунки із спеціальним режимом використання, </w:t>
      </w:r>
      <w:r w:rsidDel="00000000" w:rsidR="00000000" w:rsidRPr="00000000">
        <w:rPr>
          <w:rFonts w:ascii="Times New Roman" w:cs="Times New Roman" w:eastAsia="Times New Roman" w:hAnsi="Times New Roman"/>
          <w:sz w:val="28"/>
          <w:szCs w:val="28"/>
          <w:rtl w:val="0"/>
        </w:rPr>
        <w:t xml:space="preserve">до яких емітовано електронний платіжний засіб “Дія.Картка”</w:t>
      </w:r>
      <w:r w:rsidDel="00000000" w:rsidR="00000000" w:rsidRPr="00000000">
        <w:rPr>
          <w:rFonts w:ascii="Times New Roman" w:cs="Times New Roman" w:eastAsia="Times New Roman" w:hAnsi="Times New Roman"/>
          <w:sz w:val="28"/>
          <w:szCs w:val="28"/>
          <w:rtl w:val="0"/>
        </w:rPr>
        <w:t xml:space="preserve"> за </w:t>
      </w:r>
      <w:r w:rsidDel="00000000" w:rsidR="00000000" w:rsidRPr="00000000">
        <w:rPr>
          <w:rFonts w:ascii="Times New Roman" w:cs="Times New Roman" w:eastAsia="Times New Roman" w:hAnsi="Times New Roman"/>
          <w:sz w:val="28"/>
          <w:szCs w:val="28"/>
          <w:rtl w:val="0"/>
        </w:rPr>
        <w:t xml:space="preserve">умови наявності у банку письмового дозволу такої особи на розкриття інформ</w:t>
      </w:r>
      <w:r w:rsidDel="00000000" w:rsidR="00000000" w:rsidRPr="00000000">
        <w:rPr>
          <w:rFonts w:ascii="Times New Roman" w:cs="Times New Roman" w:eastAsia="Times New Roman" w:hAnsi="Times New Roman"/>
          <w:color w:val="000000"/>
          <w:sz w:val="28"/>
          <w:szCs w:val="28"/>
          <w:rtl w:val="0"/>
        </w:rPr>
        <w:t xml:space="preserve">ації про неї, що становить банківську таємницю</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0">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здій</w:t>
      </w:r>
      <w:r w:rsidDel="00000000" w:rsidR="00000000" w:rsidRPr="00000000">
        <w:rPr>
          <w:rFonts w:ascii="Times New Roman" w:cs="Times New Roman" w:eastAsia="Times New Roman" w:hAnsi="Times New Roman"/>
          <w:sz w:val="28"/>
          <w:szCs w:val="28"/>
          <w:rtl w:val="0"/>
        </w:rPr>
        <w:t xml:space="preserve">снені платіжні операції з поточних рахунків із спеціальним режимом використання, </w:t>
      </w:r>
      <w:r w:rsidDel="00000000" w:rsidR="00000000" w:rsidRPr="00000000">
        <w:rPr>
          <w:rFonts w:ascii="Times New Roman" w:cs="Times New Roman" w:eastAsia="Times New Roman" w:hAnsi="Times New Roman"/>
          <w:sz w:val="28"/>
          <w:szCs w:val="28"/>
          <w:rtl w:val="0"/>
        </w:rPr>
        <w:t xml:space="preserve">до яких емітовано електронний платіжний засіб “Дія.Картка”</w:t>
      </w:r>
      <w:r w:rsidDel="00000000" w:rsidR="00000000" w:rsidRPr="00000000">
        <w:rPr>
          <w:rFonts w:ascii="Times New Roman" w:cs="Times New Roman" w:eastAsia="Times New Roman" w:hAnsi="Times New Roman"/>
          <w:sz w:val="28"/>
          <w:szCs w:val="28"/>
          <w:rtl w:val="0"/>
        </w:rPr>
        <w:t xml:space="preserve">, за формою, визначеною додатком до цього Порядку.</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У разі порушення вимог, визначених законодавством, щодо напрямів використання коштів, що зараховані на спеціальний рахунок отримувача допомоги, банк протягом п’яти операційних днів з дати встановлення такого факту відшкодовує головному розпоряднику відповідних коштів суму коштів, що використана не за цільовим призначенням, шляхом перерахування коштів на рахунок розрахункового банку для подальшого повернення їх на рахунок відповідного головного розпорядника коштів із зазначенням причин повернення.</w: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Обробка персональних даних  фізичних осіб здійснюється відповідно до законодавства України про захист персональних даних.</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вимог Законів України “Про електронну ідентифікацію та електронні довірчі послуги”, “Про захист персональних даних”, “Про публічні електронні реєстри”, “Про захист інформації в інформаційно-комунікаційних системах”.</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w:t>
      </w:r>
      <w:r w:rsidDel="00000000" w:rsidR="00000000" w:rsidRPr="00000000">
        <w:rPr>
          <w:rFonts w:ascii="Times New Roman" w:cs="Times New Roman" w:eastAsia="Times New Roman" w:hAnsi="Times New Roman"/>
          <w:color w:val="000000"/>
          <w:sz w:val="28"/>
          <w:szCs w:val="28"/>
          <w:rtl w:val="0"/>
        </w:rPr>
        <w:t xml:space="preserve">інформаційну або електронну інформаційн</w:t>
      </w:r>
      <w:r w:rsidDel="00000000" w:rsidR="00000000" w:rsidRPr="00000000">
        <w:rPr>
          <w:rFonts w:ascii="Times New Roman" w:cs="Times New Roman" w:eastAsia="Times New Roman" w:hAnsi="Times New Roman"/>
          <w:sz w:val="28"/>
          <w:szCs w:val="28"/>
          <w:rtl w:val="0"/>
        </w:rPr>
        <w:t xml:space="preserve">у </w:t>
      </w:r>
      <w:r w:rsidDel="00000000" w:rsidR="00000000" w:rsidRPr="00000000">
        <w:rPr>
          <w:rFonts w:ascii="Times New Roman" w:cs="Times New Roman" w:eastAsia="Times New Roman" w:hAnsi="Times New Roman"/>
          <w:color w:val="000000"/>
          <w:sz w:val="28"/>
          <w:szCs w:val="28"/>
          <w:rtl w:val="0"/>
        </w:rPr>
        <w:t xml:space="preserve">взаємодію</w:t>
      </w:r>
      <w:r w:rsidDel="00000000" w:rsidR="00000000" w:rsidRPr="00000000">
        <w:rPr>
          <w:rFonts w:ascii="Times New Roman" w:cs="Times New Roman" w:eastAsia="Times New Roman" w:hAnsi="Times New Roman"/>
          <w:color w:val="000000"/>
          <w:sz w:val="28"/>
          <w:szCs w:val="28"/>
          <w:rtl w:val="0"/>
        </w:rPr>
        <w:t xml:space="preserve">, укладеними відповідно до Порядку електронної (технічної та інформаційної) взаємодії,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both"/>
        <w:rPr>
          <w:rFonts w:ascii="Times New Roman" w:cs="Times New Roman" w:eastAsia="Times New Roman" w:hAnsi="Times New Roman"/>
          <w:color w:val="000000"/>
          <w:sz w:val="28"/>
          <w:szCs w:val="28"/>
        </w:rPr>
      </w:pPr>
      <w:bookmarkStart w:colFirst="0" w:colLast="0" w:name="_heading=h.owxhd6hj0hlq" w:id="5"/>
      <w:bookmarkEnd w:id="5"/>
      <w:r w:rsidDel="00000000" w:rsidR="00000000" w:rsidRPr="00000000">
        <w:rPr>
          <w:rFonts w:ascii="Times New Roman" w:cs="Times New Roman" w:eastAsia="Times New Roman" w:hAnsi="Times New Roman"/>
          <w:color w:val="000000"/>
          <w:sz w:val="28"/>
          <w:szCs w:val="28"/>
          <w:rtl w:val="0"/>
        </w:rPr>
        <w:t xml:space="preserve">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здійснюється з використанням інших інформаційно-комунікаційних систем із дотриманням вимог щодо захисту інформації відповідно до статті 8 Закону України “Про захист інформації в інформаційно-комунікаційних системах”</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76" w:lineRule="auto"/>
        <w:ind w:firstLine="700"/>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_________________________</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b w:val="1"/>
          <w:sz w:val="28"/>
          <w:szCs w:val="28"/>
        </w:rPr>
      </w:pPr>
      <w:bookmarkStart w:colFirst="0" w:colLast="0" w:name="_heading=h.d7u7sdail22s" w:id="6"/>
      <w:bookmarkEnd w:id="6"/>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b w:val="1"/>
          <w:sz w:val="28"/>
          <w:szCs w:val="28"/>
        </w:rPr>
      </w:pPr>
      <w:bookmarkStart w:colFirst="0" w:colLast="0" w:name="_heading=h.n1rpulxxgt28" w:id="7"/>
      <w:bookmarkEnd w:id="7"/>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b w:val="1"/>
          <w:sz w:val="28"/>
          <w:szCs w:val="28"/>
        </w:rPr>
      </w:pPr>
      <w:bookmarkStart w:colFirst="0" w:colLast="0" w:name="_heading=h.gj1a8aigh38g" w:id="8"/>
      <w:bookmarkEnd w:id="8"/>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b w:val="1"/>
          <w:sz w:val="28"/>
          <w:szCs w:val="28"/>
        </w:rPr>
      </w:pPr>
      <w:bookmarkStart w:colFirst="0" w:colLast="0" w:name="_heading=h.yq9xk7oqztg6" w:id="9"/>
      <w:bookmarkEnd w:id="9"/>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b w:val="1"/>
          <w:sz w:val="28"/>
          <w:szCs w:val="28"/>
        </w:rPr>
      </w:pPr>
      <w:bookmarkStart w:colFirst="0" w:colLast="0" w:name="_heading=h.uuu4e18gw821" w:id="10"/>
      <w:bookmarkEnd w:id="10"/>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b w:val="1"/>
          <w:sz w:val="28"/>
          <w:szCs w:val="28"/>
        </w:rPr>
      </w:pPr>
      <w:bookmarkStart w:colFirst="0" w:colLast="0" w:name="_heading=h.1fdadiy9pz2u" w:id="11"/>
      <w:bookmarkEnd w:id="11"/>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b w:val="1"/>
          <w:sz w:val="28"/>
          <w:szCs w:val="28"/>
        </w:rPr>
      </w:pPr>
      <w:bookmarkStart w:colFirst="0" w:colLast="0" w:name="_heading=h.iv9kzris58w" w:id="12"/>
      <w:bookmarkEnd w:id="12"/>
      <w:r w:rsidDel="00000000" w:rsidR="00000000" w:rsidRPr="00000000">
        <w:rPr>
          <w:rtl w:val="0"/>
        </w:rPr>
      </w:r>
    </w:p>
    <w:sectPr>
      <w:headerReference r:id="rId7" w:type="default"/>
      <w:footerReference r:id="rId8" w:type="first"/>
      <w:pgSz w:h="16838" w:w="11906" w:orient="portrait"/>
      <w:pgMar w:bottom="1390" w:top="1134" w:left="1700" w:right="707" w:header="708" w:footer="21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A9161B"/>
    <w:rPr>
      <w:lang w:eastAsia="uk-UA"/>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a4">
    <w:name w:val="Table Grid"/>
    <w:basedOn w:val="a1"/>
    <w:uiPriority w:val="59"/>
    <w:rsid w:val="00A9161B"/>
    <w:rPr>
      <w:rFonts w:asciiTheme="minorHAnsi" w:cstheme="minorBidi" w:eastAsiaTheme="minorEastAsia" w:hAnsiTheme="minorHAnsi"/>
      <w:sz w:val="21"/>
      <w:szCs w:val="21"/>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List Paragraph"/>
    <w:basedOn w:val="a"/>
    <w:uiPriority w:val="34"/>
    <w:qFormat w:val="1"/>
    <w:rsid w:val="00CA54BD"/>
    <w:pPr>
      <w:ind w:left="720"/>
      <w:contextualSpacing w:val="1"/>
    </w:pPr>
  </w:style>
  <w:style w:type="paragraph" w:styleId="a6">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7" w:customStyle="1">
    <w:basedOn w:val="TableNormal4"/>
    <w:tblPr>
      <w:tblStyleRowBandSize w:val="1"/>
      <w:tblStyleColBandSize w:val="1"/>
      <w:tblCellMar>
        <w:top w:w="100.0" w:type="dxa"/>
        <w:left w:w="100.0" w:type="dxa"/>
        <w:bottom w:w="100.0" w:type="dxa"/>
        <w:right w:w="100.0" w:type="dxa"/>
      </w:tblCellMar>
    </w:tblPr>
  </w:style>
  <w:style w:type="paragraph" w:styleId="a8">
    <w:name w:val="header"/>
    <w:basedOn w:val="a"/>
    <w:link w:val="a9"/>
    <w:uiPriority w:val="99"/>
    <w:unhideWhenUsed w:val="1"/>
    <w:rsid w:val="00EE035F"/>
    <w:pPr>
      <w:tabs>
        <w:tab w:val="center" w:pos="4677"/>
        <w:tab w:val="right" w:pos="9355"/>
      </w:tabs>
      <w:spacing w:after="0" w:line="240" w:lineRule="auto"/>
    </w:pPr>
  </w:style>
  <w:style w:type="character" w:styleId="a9" w:customStyle="1">
    <w:name w:val="Верхній колонтитул Знак"/>
    <w:basedOn w:val="a0"/>
    <w:link w:val="a8"/>
    <w:uiPriority w:val="99"/>
    <w:rsid w:val="00EE035F"/>
    <w:rPr>
      <w:lang w:eastAsia="uk-UA"/>
    </w:rPr>
  </w:style>
  <w:style w:type="paragraph" w:styleId="aa">
    <w:name w:val="footer"/>
    <w:basedOn w:val="a"/>
    <w:link w:val="ab"/>
    <w:uiPriority w:val="99"/>
    <w:unhideWhenUsed w:val="1"/>
    <w:rsid w:val="00EE035F"/>
    <w:pPr>
      <w:tabs>
        <w:tab w:val="center" w:pos="4677"/>
        <w:tab w:val="right" w:pos="9355"/>
      </w:tabs>
      <w:spacing w:after="0" w:line="240" w:lineRule="auto"/>
    </w:pPr>
  </w:style>
  <w:style w:type="character" w:styleId="ab" w:customStyle="1">
    <w:name w:val="Нижній колонтитул Знак"/>
    <w:basedOn w:val="a0"/>
    <w:link w:val="aa"/>
    <w:uiPriority w:val="99"/>
    <w:rsid w:val="00EE035F"/>
    <w:rPr>
      <w:lang w:eastAsia="uk-UA"/>
    </w:r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yCXdT7gIFL8G+T2F1+jXCj8tw==">CgMxLjAyDmgudGY2cjUxYjdtNWVlMg1oLjMyZnlzaHI0NXUyMg5oLjU2ejExaWM3amE5bDIOaC5vYTVlYnh0dHFmMW4yCWguMzBqMHpsbDIOaC5vd3hoZDZoajBobHEyDmguZDd1N3NkYWlsMjJzMg5oLm4xcnB1bHh4Z3QyODIOaC5najFhOGFpZ2gzOGcyDmgueXE5eGs3b3F6dGc2Mg5oLnV1dTRlMThndzgyMTIOaC4xZmRhZGl5OXB6MnUyDWguaXY5a3pyaXM1OHc4AGo9ChRzdWdnZXN0LnVyeDdld3E0OGRtNxIl0JLQvtC70L7QtNC40LzQuNGAINCn0L7RgNC90L7QsdC40LvRjHIhMVFCeGo5U0FHQVhvLXhveHdEbjNxNGtRZkU2Xzc4LU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2022-07-20T07:34:00Z</dcterms:created>
  <dc:creator>Kleimenova</dc:creator>
</cp:coreProperties>
</file>