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2468E" w:rsidRDefault="002D23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00000002" w14:textId="77777777" w:rsidR="0042468E" w:rsidRDefault="002D23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jc w:val="center"/>
        <w:rPr>
          <w:rFonts w:ascii="Times New Roman" w:eastAsia="Times New Roman" w:hAnsi="Times New Roman" w:cs="Times New Roman"/>
          <w:b/>
          <w:i/>
          <w:smallCap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i/>
          <w:smallCaps/>
          <w:sz w:val="48"/>
          <w:szCs w:val="48"/>
        </w:rPr>
        <w:t>Закон України</w:t>
      </w:r>
    </w:p>
    <w:p w14:paraId="00000003" w14:textId="77777777" w:rsidR="0042468E" w:rsidRDefault="002D23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Про внесення змін до статті 17 Закону України «Про доступ до об'єктів будівництва, транспорту, електроенергетики з метою розвитку телекомунікаційних мереж» щодо спрощення розміщення об'єктів телекомунікаційної інфраструктури»</w:t>
      </w:r>
    </w:p>
    <w:p w14:paraId="00000004" w14:textId="77777777" w:rsidR="0042468E" w:rsidRDefault="0042468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axgnw9hy3r75" w:colFirst="0" w:colLast="0"/>
      <w:bookmarkEnd w:id="1"/>
    </w:p>
    <w:p w14:paraId="00000005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Верховна Рада України п о с т а н о в л я є:</w:t>
      </w:r>
    </w:p>
    <w:p w14:paraId="00000006" w14:textId="0CC063AB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І. Внести до статті 17 Закону України «Про доступ до об’єктів будівництва, транспорту, електроенергетики з метою розвитку телекомунікаційних мереж» (Відомості Верховної Ради України, 2017 р., № 11, ст.101)</w:t>
      </w:r>
      <w:r w:rsidR="00D32FF7" w:rsidRPr="00984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FF7">
        <w:rPr>
          <w:rFonts w:ascii="Times New Roman" w:eastAsia="Times New Roman" w:hAnsi="Times New Roman" w:cs="Times New Roman"/>
          <w:sz w:val="28"/>
          <w:szCs w:val="28"/>
        </w:rPr>
        <w:t>такі зміни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07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частину другу доповнити абзацом такого змісту:</w:t>
      </w:r>
    </w:p>
    <w:p w14:paraId="00000008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 зверненням замовника про надання доступу, до визначеного ним переліку елементів інфраструктури, виготовляються одні технічні умови з доступу на весь перелік елементів.»;</w:t>
      </w:r>
    </w:p>
    <w:p w14:paraId="00000009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частину четверту доповнити абзацом такого змісту:</w:t>
      </w:r>
    </w:p>
    <w:p w14:paraId="0000000A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«До складу плати за доступ входять всі податки, збори та обов’язкові платежі, встановлені законодавством.»;</w:t>
      </w:r>
    </w:p>
    <w:p w14:paraId="0000000B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пункт 2 частини сьомої викласти в такій редакції:</w:t>
      </w:r>
    </w:p>
    <w:p w14:paraId="0000000C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«2) за доступ до елементів інфраструктури об'єктів електроенергетики, зокрема, однієї опори лінії електропередачі або зовнішнього освітлення (в місяць за опору) - 0,05 відсотка мінімальної заробітної плати, крім:</w:t>
      </w:r>
    </w:p>
    <w:p w14:paraId="0000000D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міст та районних центрів, які не знаходяться на територіях з особливим режимом мовлення - 0,1 відсотка мінімальної заробітної плати; </w:t>
      </w:r>
    </w:p>
    <w:p w14:paraId="0000000E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міст Києва та Севастополя - 0,2 відсотка мінімальної заробітної плати. </w:t>
      </w:r>
    </w:p>
    <w:p w14:paraId="63681B1E" w14:textId="77777777" w:rsidR="00984576" w:rsidRDefault="00984576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BB6F94" w14:textId="77777777" w:rsidR="00984576" w:rsidRDefault="00984576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2BE54CAE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 разі якщо власник інфраструктури об’єкта електроенергетики відповідно до вимог чинного законодавства України не веде окремого обліку додаткових витрат на утримання елементів інфраструктури об’єкта електроенергетики, максимальний розмір плати за доступ:</w:t>
      </w:r>
    </w:p>
    <w:p w14:paraId="00000010" w14:textId="728EBBCD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не може перевищувати 50 відсотків від визначеного у цьому пункті</w:t>
      </w:r>
      <w:r w:rsidR="004A15F3">
        <w:rPr>
          <w:rFonts w:ascii="Times New Roman" w:eastAsia="Times New Roman" w:hAnsi="Times New Roman" w:cs="Times New Roman"/>
          <w:sz w:val="28"/>
          <w:szCs w:val="28"/>
        </w:rPr>
        <w:t xml:space="preserve"> розміру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11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при використанні декількома замовниками визначається шляхом пропорційного розподілу витрат на утримання елементів інфраструктури об’єкта електроенергетики, пов’язаних з наданим доступом, між усіма замовниками, які використовують одні й ті самі елементи інфраструктури об’єктів електроенергетики та не може перевищувати:</w:t>
      </w:r>
    </w:p>
    <w:p w14:paraId="00000012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двох замовників - 50 відсотків від розміру, встановленого у цьому пункті, для кожного замовника;</w:t>
      </w:r>
    </w:p>
    <w:p w14:paraId="00000013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трьох замовників - 35 відсотків від розміру, встановленого у цьому пункті, для кожного замовника;</w:t>
      </w:r>
    </w:p>
    <w:p w14:paraId="00000014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чотирьох і більше замовників - 25 відсотків від розміру, встановленого у цьому пункті, для кожного замовника.»;</w:t>
      </w:r>
    </w:p>
    <w:p w14:paraId="00000015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пункт 3 частини сьомої доповнити словами та цифрою:</w:t>
      </w:r>
    </w:p>
    <w:p w14:paraId="00000016" w14:textId="13DEC376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 відсотки</w:t>
      </w:r>
      <w:r w:rsidR="008624D6">
        <w:rPr>
          <w:rFonts w:ascii="Times New Roman" w:eastAsia="Times New Roman" w:hAnsi="Times New Roman" w:cs="Times New Roman"/>
          <w:sz w:val="28"/>
          <w:szCs w:val="28"/>
        </w:rPr>
        <w:t xml:space="preserve"> розміру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мінімальної заробітної плати для будівель/споруд нежитлового призначення, колекторів.»;</w:t>
      </w:r>
    </w:p>
    <w:p w14:paraId="00000017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доповнити пункт частиною десятою такого змісту:</w:t>
      </w:r>
    </w:p>
    <w:p w14:paraId="00000018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«10. У разі невстановлення власником інфраструктури об’єкта доступу або виконавчим органом сільської, селищної, міської ради розміру плати за доступ до елементів інфраструктури розмір плати за доступ до елементів інфраструктури об’єкта доступу у договорі з доступу визначається у розмірі, що не перевищує 50 відсотків від визначеного в частині сьомій цієї статті.».</w:t>
      </w:r>
    </w:p>
    <w:p w14:paraId="00000019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3znysh7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ІІ. Прикінцеві та перехідні положення.</w:t>
      </w:r>
    </w:p>
    <w:p w14:paraId="0000001A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Цей Закон набирає чинності через 90 днів з дня його опублікування.</w:t>
      </w:r>
    </w:p>
    <w:p w14:paraId="0000001B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Кабінету Міністрів України протягом трьох місяців з дня, наступного за днем опублікування цього Закону: </w:t>
      </w:r>
    </w:p>
    <w:p w14:paraId="0000001C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привести свої нормативно-правові акти у відповідність із цим Законом;</w:t>
      </w:r>
    </w:p>
    <w:p w14:paraId="0000001D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забезпечити перегляд та приведення міністерствами та іншими центральними органами виконавчої влади їх нормативно-правових актів у відповідність із цим Законом.</w:t>
      </w:r>
    </w:p>
    <w:p w14:paraId="0000001E" w14:textId="77777777" w:rsidR="0042468E" w:rsidRDefault="002D2315">
      <w:pPr>
        <w:tabs>
          <w:tab w:val="left" w:pos="993"/>
        </w:tabs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Рекомендувати Національній комісії, що здійснює державне регулювання у сфері зв’язку та інформатизації, Національній комісії, що здійснює державне регулювання у сферах енергетики та комунальних послуг у тримісячний строк з дня набрання чинності цим Законом привести свої акти у відповідність із цим Законом.</w:t>
      </w:r>
    </w:p>
    <w:p w14:paraId="0000001F" w14:textId="77777777" w:rsidR="0042468E" w:rsidRDefault="002D2315">
      <w:pPr>
        <w:spacing w:before="7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Голова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Верховної Ради України</w:t>
      </w:r>
    </w:p>
    <w:sectPr w:rsidR="0042468E">
      <w:headerReference w:type="default" r:id="rId7"/>
      <w:pgSz w:w="11906" w:h="16838"/>
      <w:pgMar w:top="850" w:right="566" w:bottom="1276" w:left="1701" w:header="708" w:footer="12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FAB1A" w14:textId="77777777" w:rsidR="00221C11" w:rsidRDefault="00221C11">
      <w:r>
        <w:separator/>
      </w:r>
    </w:p>
  </w:endnote>
  <w:endnote w:type="continuationSeparator" w:id="0">
    <w:p w14:paraId="713B74CB" w14:textId="77777777" w:rsidR="00221C11" w:rsidRDefault="0022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tiqua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58DAA" w14:textId="77777777" w:rsidR="00221C11" w:rsidRDefault="00221C11">
      <w:r>
        <w:separator/>
      </w:r>
    </w:p>
  </w:footnote>
  <w:footnote w:type="continuationSeparator" w:id="0">
    <w:p w14:paraId="5B6F55D2" w14:textId="77777777" w:rsidR="00221C11" w:rsidRDefault="0022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0" w14:textId="0E84DF0C" w:rsidR="0042468E" w:rsidRDefault="002D23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624D6">
      <w:rPr>
        <w:noProof/>
        <w:color w:val="000000"/>
      </w:rPr>
      <w:t>2</w:t>
    </w:r>
    <w:r>
      <w:rPr>
        <w:color w:val="000000"/>
      </w:rPr>
      <w:fldChar w:fldCharType="end"/>
    </w:r>
  </w:p>
  <w:p w14:paraId="00000021" w14:textId="77777777" w:rsidR="0042468E" w:rsidRDefault="004246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8E"/>
    <w:rsid w:val="00221C11"/>
    <w:rsid w:val="002D2315"/>
    <w:rsid w:val="0042468E"/>
    <w:rsid w:val="004A15F3"/>
    <w:rsid w:val="00750524"/>
    <w:rsid w:val="008624D6"/>
    <w:rsid w:val="00984576"/>
    <w:rsid w:val="00A35BB1"/>
    <w:rsid w:val="00D3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8A21"/>
  <w15:docId w15:val="{7BC5791A-EBFB-4E27-A133-60C7FEF2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ntiqua" w:eastAsia="Antiqua" w:hAnsi="Antiqua" w:cs="Antiqua"/>
        <w:sz w:val="26"/>
        <w:szCs w:val="26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363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42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23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77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77B7"/>
  </w:style>
  <w:style w:type="paragraph" w:styleId="aa">
    <w:name w:val="footer"/>
    <w:basedOn w:val="a"/>
    <w:link w:val="ab"/>
    <w:uiPriority w:val="99"/>
    <w:unhideWhenUsed/>
    <w:rsid w:val="005D77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D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jWAXKTQGnYhkxMLgwdhbuVidsg==">AMUW2mWcY5TwgvwPWOnJlP33nj62xthRul4dk37ByrOPAXCVLf1tCTd8BH5CwGiVtqV0jh2T3GAeH9RIIcW4fDmiMgvNRlmSUDoTTkeDUxaG70K08zg05dovBHQuX48ExqWYISnh77AxkahmYAtV2OmFRiDI29tDZQ==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Кічак Юлія Василівна</dc:creator>
  <cp:lastModifiedBy>OnePiece</cp:lastModifiedBy>
  <cp:revision>6</cp:revision>
  <dcterms:created xsi:type="dcterms:W3CDTF">2022-02-01T12:24:00Z</dcterms:created>
  <dcterms:modified xsi:type="dcterms:W3CDTF">2022-02-01T15:10:00Z</dcterms:modified>
</cp:coreProperties>
</file>