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jc w:val="center"/>
        <w:shd w:val="clear" w:color="000000" w:fill="FFFFFF"/>
        <w:spacing w:lineRule="auto" w:line="240" w:before="120"/>
        <w:rPr>
          <w:b w:val="1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ПОЯСНЮВАЛЬНА ЗАПИСКА</w:t>
      </w:r>
    </w:p>
    <w:p>
      <w:pPr>
        <w:jc w:val="center"/>
        <w:shd w:val="clear" w:color="000000" w:fill="FFFFFF"/>
        <w:spacing w:lineRule="auto" w:line="240" w:before="120"/>
        <w:rPr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до проекту Закону України «Про внесення зміни до Податкового кодексу </w:t>
      </w: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України (щодо встановлення мораторію на індексацію ставок рентної плати за </w:t>
      </w: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користування радіочастотним ресурсом України для виду радіозв’язку </w:t>
      </w: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«стільниковий радіозв’язок»)»</w:t>
      </w:r>
      <w:r>
        <w:rPr>
          <w:b w:val="1"/>
          <w:sz w:val="28"/>
          <w:szCs w:val="28"/>
          <w:rFonts w:ascii="Times New Roman" w:eastAsia="Times New Roman" w:hAnsi="Times New Roman" w:cs="Times New Roman"/>
        </w:rPr>
        <w:br/>
      </w: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(далі - проект акта)</w:t>
      </w:r>
    </w:p>
    <w:p>
      <w:pPr>
        <w:jc w:val="both"/>
        <w:shd w:val="clear" w:color="000000" w:fill="FFFFFF"/>
        <w:spacing w:lineRule="auto" w:line="240" w:before="12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ind w:firstLine="709"/>
        <w:rPr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1. Мета</w:t>
      </w:r>
    </w:p>
    <w:p>
      <w:pPr>
        <w:jc w:val="both"/>
        <w:spacing w:lineRule="auto" w:line="240" w:before="120"/>
        <w:ind w:firstLine="709"/>
        <w:rPr>
          <w:sz w:val="28"/>
          <w:szCs w:val="28"/>
          <w:rFonts w:ascii="Times New Roman" w:eastAsia="Times New Roman" w:hAnsi="Times New Roman" w:cs="Times New Roman"/>
        </w:rPr>
      </w:pPr>
      <w:r>
        <w:rPr>
          <w:sz w:val="28"/>
          <w:szCs w:val="28"/>
          <w:highlight w:val="white"/>
          <w:rFonts w:ascii="Times New Roman" w:eastAsia="Times New Roman" w:hAnsi="Times New Roman" w:cs="Times New Roman"/>
        </w:rPr>
        <w:t xml:space="preserve">Проект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акта розроблено з метою надання можливості операторам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мобільного зв’язку планувати розвиток мереж та, як наслідок,</w:t>
      </w:r>
      <w:r>
        <w:rPr>
          <w:color w:val="0000FF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подолання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цифрового розриву між міським та сільським населенням та покриття 90%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населення України мобільним зв’язком четвертого покоління до середини </w:t>
      </w:r>
      <w:r>
        <w:rPr>
          <w:sz w:val="28"/>
          <w:szCs w:val="28"/>
          <w:rFonts w:ascii="Times New Roman" w:eastAsia="Times New Roman" w:hAnsi="Times New Roman" w:cs="Times New Roman"/>
        </w:rPr>
        <w:br/>
      </w:r>
      <w:r>
        <w:rPr>
          <w:sz w:val="28"/>
          <w:szCs w:val="28"/>
          <w:rFonts w:ascii="Times New Roman" w:eastAsia="Times New Roman" w:hAnsi="Times New Roman" w:cs="Times New Roman"/>
        </w:rPr>
        <w:t>202</w:t>
      </w:r>
      <w:r>
        <w:rPr>
          <w:sz w:val="28"/>
          <w:szCs w:val="28"/>
          <w:rFonts w:ascii="Times New Roman" w:eastAsia="Times New Roman" w:hAnsi="Times New Roman" w:cs="Times New Roman"/>
        </w:rPr>
        <w:t>4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 року.</w:t>
      </w:r>
    </w:p>
    <w:p>
      <w:pPr>
        <w:jc w:val="both"/>
        <w:shd w:val="clear" w:color="000000" w:fill="FFFFFF"/>
        <w:spacing w:lineRule="auto" w:line="240" w:before="12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ind w:firstLine="709"/>
        <w:rPr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2. Обґрунтування необхідності прийняття акта</w:t>
      </w:r>
    </w:p>
    <w:p>
      <w:pPr>
        <w:jc w:val="both"/>
        <w:shd w:val="clear" w:color="000000" w:fill="FFFFFF"/>
        <w:spacing w:lineRule="auto" w:line="240" w:before="120"/>
        <w:ind w:firstLine="709"/>
        <w:rPr>
          <w:sz w:val="28"/>
          <w:szCs w:val="28"/>
          <w:highlight w:val="white"/>
          <w:rFonts w:ascii="Times New Roman" w:eastAsia="Times New Roman" w:hAnsi="Times New Roman" w:cs="Times New Roman"/>
        </w:rPr>
      </w:pPr>
      <w:bookmarkStart w:id="1" w:name="_gjdgxs"/>
      <w:bookmarkEnd w:id="1"/>
      <w:r>
        <w:rPr>
          <w:sz w:val="28"/>
          <w:szCs w:val="28"/>
          <w:rFonts w:ascii="Times New Roman" w:eastAsia="Times New Roman" w:hAnsi="Times New Roman" w:cs="Times New Roman"/>
        </w:rPr>
        <w:t xml:space="preserve">Проект акта розроблений на виконання цілі 2.2 «Інформатизація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суспільства» Програми діяльності Кабінету Міністрів України, затвердженої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постановою Уряду від 12.06.2020 № 471, абзацу другого пункту 8 Плану заходів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щодо створення умов розвитку мобільного широкосмугового доступу,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затвердженого розпорядженням Кабінету Міністрів України від 04.12.2019 </w:t>
      </w:r>
      <w:r>
        <w:rPr>
          <w:sz w:val="28"/>
          <w:szCs w:val="28"/>
          <w:rFonts w:ascii="Times New Roman" w:eastAsia="Times New Roman" w:hAnsi="Times New Roman" w:cs="Times New Roman"/>
        </w:rPr>
        <w:br/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№ 1272-р та пункту 1 </w:t>
      </w:r>
      <w:r>
        <w:rPr>
          <w:sz w:val="28"/>
          <w:szCs w:val="28"/>
          <w:highlight w:val="white"/>
          <w:rFonts w:ascii="Times New Roman" w:eastAsia="Times New Roman" w:hAnsi="Times New Roman" w:cs="Times New Roman"/>
        </w:rPr>
        <w:t xml:space="preserve">доручення Прем’єр-міністра України від 07.10.2020 </w:t>
      </w:r>
      <w:r>
        <w:rPr>
          <w:sz w:val="28"/>
          <w:szCs w:val="28"/>
          <w:highlight w:val="white"/>
          <w:rFonts w:ascii="Times New Roman" w:eastAsia="Times New Roman" w:hAnsi="Times New Roman" w:cs="Times New Roman"/>
        </w:rPr>
        <w:br/>
      </w:r>
      <w:r>
        <w:rPr>
          <w:sz w:val="28"/>
          <w:szCs w:val="28"/>
          <w:highlight w:val="white"/>
          <w:rFonts w:ascii="Times New Roman" w:eastAsia="Times New Roman" w:hAnsi="Times New Roman" w:cs="Times New Roman"/>
        </w:rPr>
        <w:t xml:space="preserve">№ 41636/0/1-20.</w:t>
      </w:r>
    </w:p>
    <w:p>
      <w:pPr>
        <w:jc w:val="both"/>
        <w:shd w:val="clear" w:color="000000" w:fill="FFFFFF"/>
        <w:spacing w:lineRule="auto" w:line="240" w:before="120"/>
        <w:ind w:firstLine="709"/>
        <w:rPr>
          <w:sz w:val="28"/>
          <w:szCs w:val="28"/>
          <w:rFonts w:ascii="Times New Roman" w:eastAsia="Times New Roman" w:hAnsi="Times New Roman" w:cs="Times New Roman"/>
        </w:rPr>
      </w:pPr>
      <w:bookmarkStart w:id="2" w:name="_30j0zll"/>
      <w:bookmarkEnd w:id="2"/>
      <w:r>
        <w:rPr>
          <w:sz w:val="28"/>
          <w:szCs w:val="28"/>
          <w:highlight w:val="white"/>
          <w:rFonts w:ascii="Times New Roman" w:eastAsia="Times New Roman" w:hAnsi="Times New Roman" w:cs="Times New Roman"/>
        </w:rPr>
        <w:t xml:space="preserve">Відповідно до виданих Національною комісією, що здійснює державне </w:t>
      </w:r>
      <w:r>
        <w:rPr>
          <w:sz w:val="28"/>
          <w:szCs w:val="28"/>
          <w:highlight w:val="white"/>
          <w:rFonts w:ascii="Times New Roman" w:eastAsia="Times New Roman" w:hAnsi="Times New Roman" w:cs="Times New Roman"/>
        </w:rPr>
        <w:t xml:space="preserve">регулювання у сфері зв'язку та інфор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матизації, ліцензій на користування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радіочастотним ресурсом України у діапазонах 850 МГц та 900 МГц, оператори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мобільного зв’язку зобов'язані протягом двох років забезпечити можливість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отримання послуг з використанням радіотехнології мобільного зв’язку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четвертого покоління для не менше ніж 90 % населення України та протягом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чотирьох років покрити зв'язком міжнародні та національні автомобільні шляхи.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Прийняття акта сприятиме виконанню цих зобов’язань.</w:t>
      </w:r>
    </w:p>
    <w:p>
      <w:pPr>
        <w:jc w:val="both"/>
        <w:shd w:val="clear" w:color="000000" w:fill="FFFFFF"/>
        <w:spacing w:lineRule="auto" w:line="240" w:before="120"/>
        <w:ind w:firstLine="709"/>
        <w:rPr>
          <w:sz w:val="28"/>
          <w:szCs w:val="28"/>
          <w:rFonts w:ascii="Times New Roman" w:eastAsia="Times New Roman" w:hAnsi="Times New Roman" w:cs="Times New Roman"/>
        </w:rPr>
      </w:pPr>
      <w:r>
        <w:rPr>
          <w:sz w:val="28"/>
          <w:szCs w:val="28"/>
          <w:rFonts w:ascii="Times New Roman" w:eastAsia="Times New Roman" w:hAnsi="Times New Roman" w:cs="Times New Roman"/>
        </w:rPr>
        <w:t xml:space="preserve">Розвиток нової радіотехнології мобільного зв’язку четвертого покоління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та забезпечення доступності високошвидкісного мобільного інтернету з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урахуванням таких зобов’язань по покриттю можливий лише за умови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прогнозованої операційної та інвестиційної діяльності телекомунікаційних </w:t>
      </w:r>
      <w:r>
        <w:rPr>
          <w:sz w:val="28"/>
          <w:szCs w:val="28"/>
          <w:rFonts w:ascii="Times New Roman" w:eastAsia="Times New Roman" w:hAnsi="Times New Roman" w:cs="Times New Roman"/>
        </w:rPr>
        <w:t>операторів.</w:t>
      </w:r>
    </w:p>
    <w:p>
      <w:pPr>
        <w:jc w:val="both"/>
        <w:shd w:val="clear" w:color="000000" w:fill="FFFFFF"/>
        <w:spacing w:lineRule="auto" w:line="240" w:before="12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ind w:firstLine="709"/>
        <w:rPr>
          <w:sz w:val="28"/>
          <w:szCs w:val="28"/>
          <w:rFonts w:ascii="Times New Roman" w:eastAsia="Times New Roman" w:hAnsi="Times New Roman" w:cs="Times New Roman"/>
        </w:rPr>
      </w:pPr>
      <w:bookmarkStart w:id="3" w:name="_1fob9te"/>
      <w:bookmarkEnd w:id="3"/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3. Основні положення проекту акта</w:t>
      </w:r>
    </w:p>
    <w:p>
      <w:pPr>
        <w:jc w:val="both"/>
        <w:shd w:val="clear" w:color="000000" w:fill="FFFFFF"/>
        <w:spacing w:lineRule="auto" w:line="240" w:before="120"/>
        <w:ind w:firstLine="709"/>
        <w:rPr>
          <w:sz w:val="28"/>
          <w:szCs w:val="28"/>
          <w:rFonts w:ascii="Times New Roman" w:eastAsia="Times New Roman" w:hAnsi="Times New Roman" w:cs="Times New Roman"/>
        </w:rPr>
      </w:pPr>
      <w:r>
        <w:rPr>
          <w:sz w:val="28"/>
          <w:szCs w:val="28"/>
          <w:rFonts w:ascii="Times New Roman" w:eastAsia="Times New Roman" w:hAnsi="Times New Roman" w:cs="Times New Roman"/>
        </w:rPr>
        <w:t xml:space="preserve">Проектом акта передбачається доповнити підрозділ 9</w:t>
      </w:r>
      <w:r>
        <w:rPr>
          <w:vertAlign w:val="superscript"/>
          <w:b w:val="1"/>
          <w:sz w:val="26"/>
          <w:szCs w:val="26"/>
          <w:highlight w:val="white"/>
          <w:rFonts w:ascii="Times New Roman" w:eastAsia="Times New Roman" w:hAnsi="Times New Roman" w:cs="Times New Roman"/>
        </w:rPr>
        <w:t xml:space="preserve">3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розділу ХХ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«Перехідні положення» Податкового кодексу України положенням щодо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встановлення мораторію до  3</w:t>
      </w:r>
      <w:r>
        <w:rPr>
          <w:sz w:val="28"/>
          <w:szCs w:val="28"/>
          <w:rFonts w:ascii="Times New Roman" w:eastAsia="Times New Roman" w:hAnsi="Times New Roman" w:cs="Times New Roman"/>
        </w:rPr>
        <w:t>0</w:t>
      </w:r>
      <w:r>
        <w:rPr>
          <w:sz w:val="28"/>
          <w:szCs w:val="28"/>
          <w:rFonts w:ascii="Times New Roman" w:eastAsia="Times New Roman" w:hAnsi="Times New Roman" w:cs="Times New Roman"/>
        </w:rPr>
        <w:t>.</w:t>
      </w:r>
      <w:r>
        <w:rPr>
          <w:sz w:val="28"/>
          <w:szCs w:val="28"/>
          <w:rFonts w:ascii="Times New Roman" w:eastAsia="Times New Roman" w:hAnsi="Times New Roman" w:cs="Times New Roman"/>
        </w:rPr>
        <w:t>06</w:t>
      </w:r>
      <w:r>
        <w:rPr>
          <w:sz w:val="28"/>
          <w:szCs w:val="28"/>
          <w:rFonts w:ascii="Times New Roman" w:eastAsia="Times New Roman" w:hAnsi="Times New Roman" w:cs="Times New Roman"/>
        </w:rPr>
        <w:t>.202</w:t>
      </w:r>
      <w:r>
        <w:rPr>
          <w:sz w:val="28"/>
          <w:szCs w:val="28"/>
          <w:rFonts w:ascii="Times New Roman" w:eastAsia="Times New Roman" w:hAnsi="Times New Roman" w:cs="Times New Roman"/>
        </w:rPr>
        <w:t>4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 включно на індексацію ставок рентної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плати за користування радіочастотним ресурсом України для виду радіозв’язку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«стільниковий радіозв’язок».</w:t>
      </w:r>
    </w:p>
    <w:p>
      <w:pPr>
        <w:jc w:val="both"/>
        <w:shd w:val="clear" w:color="000000" w:fill="FFFFFF"/>
        <w:spacing w:lineRule="auto" w:line="240" w:before="120"/>
        <w:ind w:firstLine="709"/>
        <w:rPr>
          <w:sz w:val="28"/>
          <w:szCs w:val="28"/>
          <w:rFonts w:ascii="Times New Roman" w:eastAsia="Times New Roman" w:hAnsi="Times New Roman" w:cs="Times New Roman"/>
        </w:rPr>
      </w:pPr>
      <w:r>
        <w:rPr>
          <w:sz w:val="28"/>
          <w:szCs w:val="28"/>
          <w:rFonts w:ascii="Times New Roman" w:eastAsia="Times New Roman" w:hAnsi="Times New Roman" w:cs="Times New Roman"/>
        </w:rPr>
        <w:t xml:space="preserve">Проект акта сприятиме середньостроковому плануванню та здійсненню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інвестицій для розгортання мережі мобільного зв’язку, яка дозволить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мешканцям навіть найвіддаленіших населених пунктів України користуватися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якісним мобільним зв’язком та доступом до Інтернету.</w:t>
      </w:r>
    </w:p>
    <w:p>
      <w:pPr>
        <w:jc w:val="both"/>
        <w:shd w:val="clear" w:color="000000" w:fill="FFFFFF"/>
        <w:spacing w:lineRule="auto" w:line="240" w:before="12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ind w:firstLine="567"/>
        <w:rPr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4. Правові аспекти</w:t>
      </w:r>
    </w:p>
    <w:p>
      <w:pPr>
        <w:pStyle w:val="PO5"/>
        <w:jc w:val="both"/>
        <w:spacing w:before="120"/>
        <w:ind w:firstLine="567"/>
        <w:rPr>
          <w:sz w:val="28"/>
          <w:szCs w:val="28"/>
          <w:rFonts w:ascii="Times New Roman" w:hAnsi="Times New Roman" w:cs="Times New Roman"/>
        </w:rPr>
      </w:pPr>
      <w:r>
        <w:rPr>
          <w:sz w:val="28"/>
          <w:szCs w:val="28"/>
          <w:rFonts w:ascii="Times New Roman" w:hAnsi="Times New Roman" w:cs="Times New Roman"/>
        </w:rPr>
        <w:t xml:space="preserve">Податковий кодекс України;</w:t>
      </w:r>
    </w:p>
    <w:p>
      <w:pPr>
        <w:pStyle w:val="PO5"/>
        <w:jc w:val="both"/>
        <w:ind w:firstLine="567"/>
        <w:rPr>
          <w:sz w:val="28"/>
          <w:szCs w:val="28"/>
          <w:rFonts w:ascii="Times New Roman" w:hAnsi="Times New Roman" w:cs="Times New Roman"/>
        </w:rPr>
      </w:pPr>
      <w:r>
        <w:rPr>
          <w:sz w:val="28"/>
          <w:szCs w:val="28"/>
          <w:rFonts w:ascii="Times New Roman" w:hAnsi="Times New Roman" w:cs="Times New Roman"/>
        </w:rPr>
        <w:t xml:space="preserve">постанова Кабінету Міністрів України від 12.06.2020 № 471 «Про </w:t>
      </w:r>
      <w:r>
        <w:rPr>
          <w:sz w:val="28"/>
          <w:szCs w:val="28"/>
          <w:rFonts w:ascii="Times New Roman" w:hAnsi="Times New Roman" w:cs="Times New Roman"/>
        </w:rPr>
        <w:t xml:space="preserve">затвердження Програми діяльності Кабінету Міністрів України»;</w:t>
      </w:r>
    </w:p>
    <w:p>
      <w:pPr>
        <w:pStyle w:val="PO5"/>
        <w:jc w:val="both"/>
        <w:ind w:firstLine="567"/>
        <w:rPr>
          <w:sz w:val="28"/>
          <w:szCs w:val="28"/>
          <w:rFonts w:ascii="Times New Roman" w:hAnsi="Times New Roman" w:cs="Times New Roman"/>
        </w:rPr>
      </w:pPr>
      <w:r>
        <w:rPr>
          <w:sz w:val="28"/>
          <w:szCs w:val="28"/>
          <w:rFonts w:ascii="Times New Roman" w:hAnsi="Times New Roman" w:cs="Times New Roman"/>
        </w:rPr>
        <w:t xml:space="preserve">постанова Кабінету Міністрів України від 18.09.2020 № 856 «Питання </w:t>
      </w:r>
      <w:r>
        <w:rPr>
          <w:sz w:val="28"/>
          <w:szCs w:val="28"/>
          <w:rFonts w:ascii="Times New Roman" w:hAnsi="Times New Roman" w:cs="Times New Roman"/>
        </w:rPr>
        <w:t xml:space="preserve">Міністерства цифрової трансформації»;</w:t>
      </w:r>
    </w:p>
    <w:p>
      <w:pPr>
        <w:pStyle w:val="PO5"/>
        <w:jc w:val="both"/>
        <w:ind w:firstLine="567"/>
        <w:rPr>
          <w:sz w:val="28"/>
          <w:szCs w:val="28"/>
          <w:rFonts w:ascii="Times New Roman" w:hAnsi="Times New Roman" w:cs="Times New Roman"/>
        </w:rPr>
      </w:pPr>
      <w:r>
        <w:rPr>
          <w:sz w:val="28"/>
          <w:szCs w:val="28"/>
          <w:rFonts w:ascii="Times New Roman" w:hAnsi="Times New Roman" w:cs="Times New Roman"/>
        </w:rPr>
        <w:t xml:space="preserve">розпорядження Кабінету Міністрів України від 04.12.2019 № 1272-р «Про </w:t>
      </w:r>
      <w:r>
        <w:rPr>
          <w:sz w:val="28"/>
          <w:szCs w:val="28"/>
          <w:rFonts w:ascii="Times New Roman" w:hAnsi="Times New Roman" w:cs="Times New Roman"/>
        </w:rPr>
        <w:t xml:space="preserve">затвердження плану заходів щодо створення умов розвитку мобільного </w:t>
      </w:r>
      <w:r>
        <w:rPr>
          <w:sz w:val="28"/>
          <w:szCs w:val="28"/>
          <w:rFonts w:ascii="Times New Roman" w:hAnsi="Times New Roman" w:cs="Times New Roman"/>
        </w:rPr>
        <w:t xml:space="preserve">широкосмугового доступу».</w:t>
      </w:r>
    </w:p>
    <w:p>
      <w:pPr>
        <w:jc w:val="both"/>
        <w:shd w:val="clear" w:color="000000" w:fill="FFFFFF"/>
        <w:spacing w:lineRule="auto" w:line="240" w:before="12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ind w:firstLine="567"/>
        <w:rPr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5. Фінансово-економічне обґрунтування</w:t>
      </w:r>
    </w:p>
    <w:p>
      <w:pPr>
        <w:jc w:val="both"/>
        <w:shd w:val="clear" w:color="000000" w:fill="FFFFFF"/>
        <w:spacing w:lineRule="auto" w:line="240"/>
        <w:ind w:firstLine="567"/>
        <w:rPr>
          <w:sz w:val="28"/>
          <w:szCs w:val="28"/>
          <w:highlight w:val="white"/>
          <w:rFonts w:ascii="Times New Roman" w:eastAsia="Times New Roman" w:hAnsi="Times New Roman" w:cs="Times New Roman"/>
        </w:rPr>
      </w:pPr>
      <w:r>
        <w:rPr>
          <w:sz w:val="28"/>
          <w:szCs w:val="28"/>
          <w:rFonts w:ascii="Times New Roman" w:eastAsia="Times New Roman" w:hAnsi="Times New Roman" w:cs="Times New Roman"/>
        </w:rPr>
        <w:t xml:space="preserve">Реалізація прое</w:t>
      </w:r>
      <w:r>
        <w:rPr>
          <w:sz w:val="28"/>
          <w:szCs w:val="28"/>
          <w:highlight w:val="white"/>
          <w:rFonts w:ascii="Times New Roman" w:eastAsia="Times New Roman" w:hAnsi="Times New Roman" w:cs="Times New Roman"/>
        </w:rPr>
        <w:t xml:space="preserve">кту акта не потребує додаткового фінансування з </w:t>
      </w:r>
      <w:r>
        <w:rPr>
          <w:sz w:val="28"/>
          <w:szCs w:val="28"/>
          <w:highlight w:val="white"/>
          <w:rFonts w:ascii="Times New Roman" w:eastAsia="Times New Roman" w:hAnsi="Times New Roman" w:cs="Times New Roman"/>
        </w:rPr>
        <w:t xml:space="preserve">державного бюджету та місцевих бюджетів. Разом з тим, оскільки у Законі </w:t>
      </w:r>
      <w:r>
        <w:rPr>
          <w:sz w:val="28"/>
          <w:szCs w:val="28"/>
          <w:highlight w:val="white"/>
          <w:rFonts w:ascii="Times New Roman" w:eastAsia="Times New Roman" w:hAnsi="Times New Roman" w:cs="Times New Roman"/>
        </w:rPr>
        <w:t xml:space="preserve">України від 15.12.2020 № 1082 «Про Державний бюджет України на 2021 рік» </w:t>
      </w:r>
      <w:r>
        <w:rPr>
          <w:sz w:val="28"/>
          <w:szCs w:val="28"/>
          <w:highlight w:val="white"/>
          <w:rFonts w:ascii="Times New Roman" w:eastAsia="Times New Roman" w:hAnsi="Times New Roman" w:cs="Times New Roman"/>
        </w:rPr>
        <w:t xml:space="preserve">закладено приріст на 323,5 млн. грн. доходів держбюджету за рахунок </w:t>
      </w:r>
      <w:r>
        <w:rPr>
          <w:sz w:val="28"/>
          <w:szCs w:val="28"/>
          <w:highlight w:val="white"/>
          <w:rFonts w:ascii="Times New Roman" w:eastAsia="Times New Roman" w:hAnsi="Times New Roman" w:cs="Times New Roman"/>
        </w:rPr>
        <w:t xml:space="preserve">індексації ставок рентної плати за користування радіочастотним ресурсом </w:t>
      </w:r>
      <w:r>
        <w:rPr>
          <w:sz w:val="28"/>
          <w:szCs w:val="28"/>
          <w:highlight w:val="white"/>
          <w:rFonts w:ascii="Times New Roman" w:eastAsia="Times New Roman" w:hAnsi="Times New Roman" w:cs="Times New Roman"/>
        </w:rPr>
        <w:t xml:space="preserve">України для виду радіозв’язку «стільниковий радіозв’язок», а попередня </w:t>
      </w:r>
      <w:r>
        <w:rPr>
          <w:sz w:val="28"/>
          <w:szCs w:val="28"/>
          <w:highlight w:val="white"/>
          <w:rFonts w:ascii="Times New Roman" w:eastAsia="Times New Roman" w:hAnsi="Times New Roman" w:cs="Times New Roman"/>
        </w:rPr>
        <w:t xml:space="preserve">індексація рентної плати проводилась у 2016 році, то можливе збільшення </w:t>
      </w:r>
      <w:r>
        <w:rPr>
          <w:sz w:val="28"/>
          <w:szCs w:val="28"/>
          <w:highlight w:val="white"/>
          <w:rFonts w:ascii="Times New Roman" w:eastAsia="Times New Roman" w:hAnsi="Times New Roman" w:cs="Times New Roman"/>
        </w:rPr>
        <w:t xml:space="preserve">доходів у 2023 році за рахунок індексації ставок рентної плати за користування </w:t>
      </w:r>
      <w:r>
        <w:rPr>
          <w:sz w:val="28"/>
          <w:szCs w:val="28"/>
          <w:highlight w:val="white"/>
          <w:rFonts w:ascii="Times New Roman" w:eastAsia="Times New Roman" w:hAnsi="Times New Roman" w:cs="Times New Roman"/>
        </w:rPr>
        <w:t xml:space="preserve">радіочастотним ресурсом України для виду радіозв’язку «стільниковий </w:t>
      </w:r>
      <w:r>
        <w:rPr>
          <w:sz w:val="28"/>
          <w:szCs w:val="28"/>
          <w:highlight w:val="white"/>
          <w:rFonts w:ascii="Times New Roman" w:eastAsia="Times New Roman" w:hAnsi="Times New Roman" w:cs="Times New Roman"/>
        </w:rPr>
        <w:t xml:space="preserve">радіозв’язок» по коду 13060000 буде тимчасово заблоковано.</w:t>
      </w:r>
    </w:p>
    <w:p>
      <w:pPr>
        <w:jc w:val="both"/>
        <w:shd w:val="clear" w:color="000000" w:fill="FFFFFF"/>
        <w:spacing w:lineRule="auto" w:line="240"/>
        <w:ind w:firstLine="567"/>
        <w:rPr>
          <w:sz w:val="28"/>
          <w:szCs w:val="28"/>
          <w:highlight w:val="white"/>
          <w:rFonts w:ascii="Times New Roman" w:eastAsia="Times New Roman" w:hAnsi="Times New Roman" w:cs="Times New Roman"/>
        </w:rPr>
      </w:pPr>
      <w:r>
        <w:rPr>
          <w:sz w:val="28"/>
          <w:szCs w:val="28"/>
          <w:highlight w:val="white"/>
          <w:rFonts w:ascii="Times New Roman" w:eastAsia="Times New Roman" w:hAnsi="Times New Roman" w:cs="Times New Roman"/>
        </w:rPr>
        <w:t xml:space="preserve">Водночас, в пояснювальній записці (у редакції від 14.09.2020) до проекту </w:t>
      </w:r>
      <w:r>
        <w:rPr>
          <w:sz w:val="28"/>
          <w:szCs w:val="28"/>
          <w:highlight w:val="white"/>
          <w:rFonts w:ascii="Times New Roman" w:eastAsia="Times New Roman" w:hAnsi="Times New Roman" w:cs="Times New Roman"/>
        </w:rPr>
        <w:t xml:space="preserve">Закону України «Про Державний бюджет України на 2021 рік» було зазначено, </w:t>
      </w:r>
      <w:r>
        <w:rPr>
          <w:sz w:val="28"/>
          <w:szCs w:val="28"/>
          <w:highlight w:val="white"/>
          <w:rFonts w:ascii="Times New Roman" w:eastAsia="Times New Roman" w:hAnsi="Times New Roman" w:cs="Times New Roman"/>
        </w:rPr>
        <w:t xml:space="preserve">що сума прогнозованих надходжень від рентної плати за користування </w:t>
      </w:r>
      <w:r>
        <w:rPr>
          <w:sz w:val="28"/>
          <w:szCs w:val="28"/>
          <w:highlight w:val="white"/>
          <w:rFonts w:ascii="Times New Roman" w:eastAsia="Times New Roman" w:hAnsi="Times New Roman" w:cs="Times New Roman"/>
        </w:rPr>
        <w:t xml:space="preserve">радіочастотами залежить від прийняття Закону щодо внесення змін до </w:t>
      </w:r>
      <w:r>
        <w:rPr>
          <w:sz w:val="28"/>
          <w:szCs w:val="28"/>
          <w:highlight w:val="white"/>
          <w:rFonts w:ascii="Times New Roman" w:eastAsia="Times New Roman" w:hAnsi="Times New Roman" w:cs="Times New Roman"/>
        </w:rPr>
        <w:t xml:space="preserve">Податкового кодексу України. Відповідний законопроект внесено 11.11.2020 до </w:t>
      </w:r>
      <w:r>
        <w:rPr>
          <w:sz w:val="28"/>
          <w:szCs w:val="28"/>
          <w:highlight w:val="white"/>
          <w:rFonts w:ascii="Times New Roman" w:eastAsia="Times New Roman" w:hAnsi="Times New Roman" w:cs="Times New Roman"/>
        </w:rPr>
        <w:t xml:space="preserve">Верховної Ради України за реєстр. № 4101-д. Він не передбачає індексації </w:t>
      </w:r>
      <w:r>
        <w:rPr>
          <w:sz w:val="28"/>
          <w:szCs w:val="28"/>
          <w:highlight w:val="white"/>
          <w:rFonts w:ascii="Times New Roman" w:eastAsia="Times New Roman" w:hAnsi="Times New Roman" w:cs="Times New Roman"/>
        </w:rPr>
        <w:t xml:space="preserve">рентної плати за користування радіочастотами у 2021 році.</w:t>
      </w:r>
    </w:p>
    <w:p>
      <w:pPr>
        <w:jc w:val="both"/>
        <w:shd w:val="clear" w:color="000000" w:fill="FFFFFF"/>
        <w:spacing w:lineRule="auto" w:line="240" w:before="12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ind w:firstLine="709"/>
        <w:rPr>
          <w:sz w:val="28"/>
          <w:szCs w:val="28"/>
          <w:highlight w:val="white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highlight w:val="white"/>
          <w:rFonts w:ascii="Times New Roman" w:eastAsia="Times New Roman" w:hAnsi="Times New Roman" w:cs="Times New Roman"/>
        </w:rPr>
        <w:t xml:space="preserve">6. Позиція заінтересованих сторін</w:t>
      </w:r>
    </w:p>
    <w:p>
      <w:pPr>
        <w:jc w:val="both"/>
        <w:shd w:val="clear" w:color="000000" w:fill="FFFFFF"/>
        <w:spacing w:lineRule="auto" w:line="240" w:before="120"/>
        <w:ind w:firstLine="709"/>
        <w:rPr>
          <w:sz w:val="28"/>
          <w:szCs w:val="28"/>
          <w:rFonts w:ascii="Times New Roman" w:eastAsia="Times New Roman" w:hAnsi="Times New Roman" w:cs="Times New Roman"/>
        </w:rPr>
      </w:pPr>
      <w:r>
        <w:rPr>
          <w:sz w:val="28"/>
          <w:szCs w:val="28"/>
          <w:highlight w:val="white"/>
          <w:rFonts w:ascii="Times New Roman" w:eastAsia="Times New Roman" w:hAnsi="Times New Roman" w:cs="Times New Roman"/>
        </w:rPr>
        <w:t xml:space="preserve">З метою проведення публічних консультацій, відповідно до Порядку </w:t>
      </w:r>
      <w:r>
        <w:rPr>
          <w:sz w:val="28"/>
          <w:szCs w:val="28"/>
          <w:highlight w:val="white"/>
          <w:rFonts w:ascii="Times New Roman" w:eastAsia="Times New Roman" w:hAnsi="Times New Roman" w:cs="Times New Roman"/>
        </w:rPr>
        <w:t xml:space="preserve">проведення консультацій з громадськістю з питань формування та реалізації </w:t>
      </w:r>
      <w:r>
        <w:rPr>
          <w:sz w:val="28"/>
          <w:szCs w:val="28"/>
          <w:highlight w:val="white"/>
          <w:rFonts w:ascii="Times New Roman" w:eastAsia="Times New Roman" w:hAnsi="Times New Roman" w:cs="Times New Roman"/>
        </w:rPr>
        <w:t xml:space="preserve">державної політики, затвердженого постановою Кабінету Міністрів України від </w:t>
      </w:r>
      <w:r>
        <w:rPr>
          <w:sz w:val="28"/>
          <w:szCs w:val="28"/>
          <w:highlight w:val="white"/>
          <w:rFonts w:ascii="Times New Roman" w:eastAsia="Times New Roman" w:hAnsi="Times New Roman" w:cs="Times New Roman"/>
        </w:rPr>
        <w:t xml:space="preserve">03.11.2010 № 996 «Про забезпечення участі громадськості у формуванні та </w:t>
      </w:r>
      <w:r>
        <w:rPr>
          <w:sz w:val="28"/>
          <w:szCs w:val="28"/>
          <w:highlight w:val="white"/>
          <w:rFonts w:ascii="Times New Roman" w:eastAsia="Times New Roman" w:hAnsi="Times New Roman" w:cs="Times New Roman"/>
        </w:rPr>
        <w:t xml:space="preserve">реалізації державної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політики», проект акта розміщено на офіційному вебсайті </w:t>
      </w:r>
      <w:r>
        <w:rPr>
          <w:sz w:val="28"/>
          <w:szCs w:val="28"/>
          <w:rFonts w:ascii="Times New Roman" w:eastAsia="Times New Roman" w:hAnsi="Times New Roman" w:cs="Times New Roman"/>
        </w:rPr>
        <w:t>Мінцифри.</w:t>
      </w:r>
    </w:p>
    <w:p>
      <w:pPr>
        <w:jc w:val="both"/>
        <w:shd w:val="clear" w:color="000000" w:fill="FFFFFF"/>
        <w:spacing w:lineRule="auto" w:line="240" w:before="120"/>
        <w:ind w:firstLine="709"/>
        <w:rPr>
          <w:sz w:val="28"/>
          <w:szCs w:val="28"/>
          <w:rFonts w:ascii="Times New Roman" w:eastAsia="Times New Roman" w:hAnsi="Times New Roman" w:cs="Times New Roman"/>
        </w:rPr>
      </w:pPr>
      <w:r>
        <w:rPr>
          <w:sz w:val="28"/>
          <w:szCs w:val="28"/>
          <w:rFonts w:ascii="Times New Roman" w:eastAsia="Times New Roman" w:hAnsi="Times New Roman" w:cs="Times New Roman"/>
        </w:rPr>
        <w:t xml:space="preserve">Проект акта не стосується питань функціонування місцевого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самоврядування, прав та інтересів територіальних громад, місцевого та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регіонального розвитку, соціально-трудової сфери, прав осіб з інвалідністю,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функціонування і застосування української мови як державної, а отже не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потребує погодження з уповноваженими представниками всеукраїнських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асоціацій органів місцевого самоврядування чи відповідними органами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місцевого самоврядування, уповноваженими представниками всеукраїнських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профспілок, їх об'єднань та всеукраїнських об'єднань організацій роботодавців,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Уповноваженим Президента України з прав людей з інвалідністю, Урядовим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уповноваженим з прав осіб з інвалідністю та всеукраїнськими громадськими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організаціями осіб з інвалідністю, їх спілок, Уповноваженим із захисту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державної мови.</w:t>
      </w:r>
    </w:p>
    <w:p>
      <w:pPr>
        <w:jc w:val="both"/>
        <w:shd w:val="clear" w:color="000000" w:fill="FFFFFF"/>
        <w:spacing w:lineRule="auto" w:line="240" w:before="120"/>
        <w:ind w:firstLine="709"/>
        <w:rPr>
          <w:sz w:val="28"/>
          <w:szCs w:val="28"/>
          <w:rFonts w:ascii="Times New Roman" w:eastAsia="Times New Roman" w:hAnsi="Times New Roman" w:cs="Times New Roman"/>
        </w:rPr>
      </w:pPr>
      <w:r>
        <w:rPr>
          <w:sz w:val="28"/>
          <w:szCs w:val="28"/>
          <w:rFonts w:ascii="Times New Roman" w:eastAsia="Times New Roman" w:hAnsi="Times New Roman" w:cs="Times New Roman"/>
        </w:rPr>
        <w:t xml:space="preserve">Проект акта не стосується сфери наукової та науково-технічної діяльності,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а отже не потребує розгляду Науковим комітетом Національної ради з питань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розвитку науки і технологій.</w:t>
      </w:r>
    </w:p>
    <w:p>
      <w:pPr>
        <w:jc w:val="both"/>
        <w:shd w:val="clear" w:color="000000" w:fill="FFFFFF"/>
        <w:spacing w:lineRule="auto" w:line="240" w:before="12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ind w:firstLine="709"/>
        <w:rPr>
          <w:b w:val="1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7. Оцінка відповідності</w:t>
      </w:r>
    </w:p>
    <w:p>
      <w:pPr>
        <w:pStyle w:val="PO5"/>
        <w:jc w:val="both"/>
        <w:spacing w:before="120"/>
        <w:ind w:firstLine="709"/>
        <w:rPr>
          <w:sz w:val="28"/>
          <w:szCs w:val="28"/>
          <w:rFonts w:ascii="Times New Roman" w:hAnsi="Times New Roman" w:cs="Times New Roman"/>
        </w:rPr>
      </w:pPr>
      <w:r>
        <w:rPr>
          <w:sz w:val="28"/>
          <w:szCs w:val="28"/>
          <w:rFonts w:ascii="Times New Roman" w:hAnsi="Times New Roman" w:cs="Times New Roman"/>
        </w:rPr>
        <w:t xml:space="preserve">Проект акта не містить норм, що стосуються зобов’язань України у сфері </w:t>
      </w:r>
      <w:r>
        <w:rPr>
          <w:sz w:val="28"/>
          <w:szCs w:val="28"/>
          <w:rFonts w:ascii="Times New Roman" w:hAnsi="Times New Roman" w:cs="Times New Roman"/>
        </w:rPr>
        <w:t xml:space="preserve">європейської інтеграції.</w:t>
      </w:r>
    </w:p>
    <w:p>
      <w:pPr>
        <w:pStyle w:val="PO5"/>
        <w:jc w:val="both"/>
        <w:ind w:firstLine="709"/>
        <w:rPr>
          <w:sz w:val="28"/>
          <w:szCs w:val="28"/>
          <w:rFonts w:ascii="Times New Roman" w:hAnsi="Times New Roman" w:cs="Times New Roman"/>
        </w:rPr>
      </w:pPr>
      <w:r>
        <w:rPr>
          <w:sz w:val="28"/>
          <w:szCs w:val="28"/>
          <w:rFonts w:ascii="Times New Roman" w:hAnsi="Times New Roman" w:cs="Times New Roman"/>
        </w:rPr>
        <w:t xml:space="preserve">Проект акта не містить норм, що порушують права та свободи, </w:t>
      </w:r>
      <w:r>
        <w:rPr>
          <w:sz w:val="28"/>
          <w:szCs w:val="28"/>
          <w:rFonts w:ascii="Times New Roman" w:hAnsi="Times New Roman" w:cs="Times New Roman"/>
        </w:rPr>
        <w:t xml:space="preserve">гарантовані Конвенцією про захист прав людини і основоположних свобод </w:t>
      </w:r>
      <w:r>
        <w:rPr>
          <w:sz w:val="28"/>
          <w:szCs w:val="28"/>
          <w:rFonts w:ascii="Times New Roman" w:hAnsi="Times New Roman" w:cs="Times New Roman"/>
        </w:rPr>
        <w:t>1950 року.</w:t>
      </w:r>
    </w:p>
    <w:p>
      <w:pPr>
        <w:pStyle w:val="PO5"/>
        <w:jc w:val="both"/>
        <w:ind w:firstLine="709"/>
        <w:rPr>
          <w:sz w:val="28"/>
          <w:szCs w:val="28"/>
          <w:rFonts w:ascii="Times New Roman" w:hAnsi="Times New Roman" w:cs="Times New Roman"/>
        </w:rPr>
      </w:pPr>
      <w:r>
        <w:rPr>
          <w:sz w:val="28"/>
          <w:szCs w:val="28"/>
          <w:rFonts w:ascii="Times New Roman" w:hAnsi="Times New Roman" w:cs="Times New Roman"/>
        </w:rPr>
        <w:t xml:space="preserve">У проекті акта відсутні положення, які порушують принцип забезпечення </w:t>
      </w:r>
      <w:r>
        <w:rPr>
          <w:sz w:val="28"/>
          <w:szCs w:val="28"/>
          <w:rFonts w:ascii="Times New Roman" w:hAnsi="Times New Roman" w:cs="Times New Roman"/>
        </w:rPr>
        <w:t xml:space="preserve">рівних прав та можливостей жінок і чоловіків.</w:t>
      </w:r>
    </w:p>
    <w:p>
      <w:pPr>
        <w:pStyle w:val="PO5"/>
        <w:jc w:val="both"/>
        <w:ind w:firstLine="709"/>
        <w:rPr>
          <w:sz w:val="28"/>
          <w:szCs w:val="28"/>
          <w:rFonts w:ascii="Times New Roman" w:hAnsi="Times New Roman" w:cs="Times New Roman"/>
        </w:rPr>
      </w:pPr>
      <w:r>
        <w:rPr>
          <w:sz w:val="28"/>
          <w:szCs w:val="28"/>
          <w:rFonts w:ascii="Times New Roman" w:hAnsi="Times New Roman" w:cs="Times New Roman"/>
        </w:rPr>
        <w:t xml:space="preserve">У проекті акта відсутні положення, які містять ризики вчинення </w:t>
      </w:r>
      <w:r>
        <w:rPr>
          <w:sz w:val="28"/>
          <w:szCs w:val="28"/>
          <w:rFonts w:ascii="Times New Roman" w:hAnsi="Times New Roman" w:cs="Times New Roman"/>
        </w:rPr>
        <w:t xml:space="preserve">корупційних правопорушень та правопорушень, пов’язаних з корупцією.</w:t>
      </w:r>
    </w:p>
    <w:p>
      <w:pPr>
        <w:pStyle w:val="PO5"/>
        <w:jc w:val="both"/>
        <w:ind w:firstLine="709"/>
        <w:rPr>
          <w:sz w:val="28"/>
          <w:szCs w:val="28"/>
          <w:rFonts w:ascii="Times New Roman" w:hAnsi="Times New Roman" w:cs="Times New Roman"/>
        </w:rPr>
      </w:pPr>
      <w:r>
        <w:rPr>
          <w:sz w:val="28"/>
          <w:szCs w:val="28"/>
          <w:rFonts w:ascii="Times New Roman" w:hAnsi="Times New Roman" w:cs="Times New Roman"/>
        </w:rPr>
        <w:t xml:space="preserve">У проекті акта відсутні положення, що містять ознаки дискримінації чи </w:t>
      </w:r>
      <w:r>
        <w:rPr>
          <w:sz w:val="28"/>
          <w:szCs w:val="28"/>
          <w:rFonts w:ascii="Times New Roman" w:hAnsi="Times New Roman" w:cs="Times New Roman"/>
        </w:rPr>
        <w:t xml:space="preserve">які створюють підстави для дискримінації.</w:t>
      </w:r>
    </w:p>
    <w:p>
      <w:pPr>
        <w:jc w:val="both"/>
        <w:shd w:val="clear" w:color="000000" w:fill="FFFFFF"/>
        <w:spacing w:lineRule="auto" w:line="240" w:before="12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ind w:firstLine="709"/>
        <w:rPr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8. Прогноз результатів</w:t>
      </w:r>
    </w:p>
    <w:p>
      <w:pPr>
        <w:jc w:val="both"/>
        <w:shd w:val="clear" w:color="000000" w:fill="FFFFFF"/>
        <w:spacing w:lineRule="auto" w:line="240" w:before="120"/>
        <w:ind w:firstLine="709"/>
        <w:rPr>
          <w:strike/>
          <w:sz w:val="28"/>
          <w:szCs w:val="28"/>
          <w:rFonts w:ascii="Times New Roman" w:eastAsia="Times New Roman" w:hAnsi="Times New Roman" w:cs="Times New Roman"/>
        </w:rPr>
      </w:pPr>
      <w:r>
        <w:rPr>
          <w:sz w:val="28"/>
          <w:szCs w:val="28"/>
          <w:rFonts w:ascii="Times New Roman" w:eastAsia="Times New Roman" w:hAnsi="Times New Roman" w:cs="Times New Roman"/>
        </w:rPr>
        <w:t xml:space="preserve">Проект акта забезпечить подальший розвиток радіотехнології мобільного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зв’язку четвертого покоління шляхом забезпечення прогнозованої операційної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та інвестиційної діяльності операторів мобільного зв’язку. Буде підвищена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можливість мобільних операторів для розгортання мереж радіотехнології LTE,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що сприятиме покращенню якості послуг мобільного та інтернет зв’язку для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населення України, дозволить мешканцям навіть найвіддаленіших населених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пунктів України користуватися якісним мобільним зв’язком та доступом до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Інтернету, зменшивши таким чином цифровий розрив між міським та сільським </w:t>
      </w:r>
      <w:r>
        <w:rPr>
          <w:sz w:val="28"/>
          <w:szCs w:val="28"/>
          <w:rFonts w:ascii="Times New Roman" w:eastAsia="Times New Roman" w:hAnsi="Times New Roman" w:cs="Times New Roman"/>
        </w:rPr>
        <w:t>населенням.</w:t>
      </w:r>
    </w:p>
    <w:p>
      <w:pPr>
        <w:jc w:val="both"/>
        <w:shd w:val="clear" w:color="000000" w:fill="FFFFFF"/>
        <w:spacing w:lineRule="auto" w:line="240" w:before="120"/>
        <w:ind w:firstLine="709"/>
        <w:rPr>
          <w:sz w:val="28"/>
          <w:szCs w:val="28"/>
          <w:rFonts w:ascii="Times New Roman" w:eastAsia="Times New Roman" w:hAnsi="Times New Roman" w:cs="Times New Roman"/>
        </w:rPr>
      </w:pPr>
      <w:r>
        <w:rPr>
          <w:sz w:val="28"/>
          <w:szCs w:val="28"/>
          <w:rFonts w:ascii="Times New Roman" w:eastAsia="Times New Roman" w:hAnsi="Times New Roman" w:cs="Times New Roman"/>
        </w:rPr>
        <w:t xml:space="preserve">Проект акта не матиме безпосереднього впливу розвиток регіонів,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підвищення чи зниження спроможності територіальних громад; ринок праці,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рівень зайнятості населення; громадське здоров’я, покращення чи погіршення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стану здоров’я населення або його окремих груп; екологію та навколишнє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природне середовище, обсяг природних ресурсів, рівень забруднення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атмосферного повітря, води, земель, зокрема, забруднення утвореними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відходами, інші суспільні відносини.</w:t>
      </w:r>
    </w:p>
    <w:p>
      <w:pPr>
        <w:jc w:val="both"/>
        <w:shd w:val="clear" w:color="000000" w:fill="FFFFFF"/>
        <w:spacing w:lineRule="auto" w:line="240" w:before="120"/>
        <w:ind w:firstLine="709"/>
        <w:rPr>
          <w:sz w:val="28"/>
          <w:szCs w:val="28"/>
          <w:rFonts w:ascii="Times New Roman" w:eastAsia="Times New Roman" w:hAnsi="Times New Roman" w:cs="Times New Roman"/>
        </w:rPr>
      </w:pPr>
    </w:p>
    <w:p>
      <w:pPr>
        <w:jc w:val="both"/>
        <w:shd w:val="clear" w:color="000000" w:fill="FFFFFF"/>
        <w:spacing w:lineRule="auto" w:line="240" w:before="120"/>
        <w:ind w:firstLine="709"/>
        <w:rPr>
          <w:sz w:val="28"/>
          <w:szCs w:val="28"/>
          <w:rFonts w:ascii="Times New Roman" w:eastAsia="Times New Roman" w:hAnsi="Times New Roman" w:cs="Times New Roman"/>
        </w:rPr>
      </w:pPr>
      <w:r>
        <w:rPr>
          <w:sz w:val="28"/>
          <w:szCs w:val="28"/>
          <w:rFonts w:ascii="Times New Roman" w:eastAsia="Times New Roman" w:hAnsi="Times New Roman" w:cs="Times New Roman"/>
        </w:rPr>
        <w:t xml:space="preserve">Реалізація акта матиме вплив на інтереси заінтересованих сторін:</w:t>
      </w:r>
    </w:p>
    <w:p>
      <w:pPr>
        <w:jc w:val="both"/>
        <w:shd w:val="clear" w:color="000000" w:fill="FFFFFF"/>
        <w:spacing w:lineRule="auto" w:line="240" w:before="120"/>
        <w:ind w:firstLine="567"/>
        <w:rPr>
          <w:sz w:val="28"/>
          <w:szCs w:val="28"/>
          <w:rFonts w:ascii="Times New Roman" w:eastAsia="Times New Roman" w:hAnsi="Times New Roman" w:cs="Times New Roman"/>
        </w:rPr>
      </w:pPr>
    </w:p>
    <w:tbl>
      <w:tblID w:val="0"/>
      <w:tblPr>
        <w:tblStyle w:val="PO152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top w:w="0" w:type="dxa"/>
          <w:right w:w="115" w:type="dxa"/>
          <w:bottom w:w="0" w:type="dxa"/>
        </w:tblCellMar>
        <w:tblW w:w="9629" w:type="dxa"/>
        <w:tblLook w:val="000400" w:firstRow="0" w:lastRow="0" w:firstColumn="0" w:lastColumn="0" w:noHBand="0" w:noVBand="1"/>
        <w:tblLayout w:type="fixed"/>
      </w:tblPr>
      <w:tblGrid>
        <w:gridCol w:w="2263"/>
        <w:gridCol w:w="2694"/>
        <w:gridCol w:w="4672"/>
      </w:tblGrid>
      <w:tr>
        <w:trPr>
          <w:hidden w:val="0"/>
        </w:trPr>
        <w:tc>
          <w:tcPr>
            <w:tcW w:type="dxa" w:w="2263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spacing w:lineRule="auto" w:line="240"/>
              <w:rPr>
                <w:sz w:val="28"/>
                <w:szCs w:val="28"/>
                <w:rFonts w:ascii="Times New Roman" w:eastAsia="Times New Roman" w:hAnsi="Times New Roman" w:cs="Times New Roman"/>
              </w:rPr>
            </w:pPr>
            <w:r>
              <w:rPr>
                <w:sz w:val="28"/>
                <w:szCs w:val="28"/>
                <w:rFonts w:ascii="Times New Roman" w:eastAsia="Times New Roman" w:hAnsi="Times New Roman" w:cs="Times New Roman"/>
              </w:rPr>
              <w:t xml:space="preserve">Заінтересована </w:t>
            </w:r>
            <w:r>
              <w:rPr>
                <w:sz w:val="28"/>
                <w:szCs w:val="28"/>
                <w:rFonts w:ascii="Times New Roman" w:eastAsia="Times New Roman" w:hAnsi="Times New Roman" w:cs="Times New Roman"/>
              </w:rPr>
              <w:t>сторона</w:t>
            </w:r>
          </w:p>
        </w:tc>
        <w:tc>
          <w:tcPr>
            <w:tcW w:type="dxa" w:w="2694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spacing w:lineRule="auto" w:line="240"/>
              <w:rPr>
                <w:sz w:val="28"/>
                <w:szCs w:val="28"/>
                <w:rFonts w:ascii="Times New Roman" w:eastAsia="Times New Roman" w:hAnsi="Times New Roman" w:cs="Times New Roman"/>
              </w:rPr>
            </w:pPr>
            <w:r>
              <w:rPr>
                <w:sz w:val="28"/>
                <w:szCs w:val="28"/>
                <w:rFonts w:ascii="Times New Roman" w:eastAsia="Times New Roman" w:hAnsi="Times New Roman" w:cs="Times New Roman"/>
              </w:rPr>
              <w:t xml:space="preserve">Вплив реалізації акта </w:t>
            </w:r>
            <w:r>
              <w:rPr>
                <w:sz w:val="28"/>
                <w:szCs w:val="28"/>
                <w:rFonts w:ascii="Times New Roman" w:eastAsia="Times New Roman" w:hAnsi="Times New Roman" w:cs="Times New Roman"/>
              </w:rPr>
              <w:t xml:space="preserve">на заінтересовану </w:t>
            </w:r>
            <w:r>
              <w:rPr>
                <w:sz w:val="28"/>
                <w:szCs w:val="28"/>
                <w:rFonts w:ascii="Times New Roman" w:eastAsia="Times New Roman" w:hAnsi="Times New Roman" w:cs="Times New Roman"/>
              </w:rPr>
              <w:t>сторону</w:t>
            </w:r>
          </w:p>
        </w:tc>
        <w:tc>
          <w:tcPr>
            <w:tcW w:type="dxa" w:w="4672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spacing w:lineRule="auto" w:line="240"/>
              <w:rPr>
                <w:sz w:val="28"/>
                <w:szCs w:val="28"/>
                <w:rFonts w:ascii="Times New Roman" w:eastAsia="Times New Roman" w:hAnsi="Times New Roman" w:cs="Times New Roman"/>
              </w:rPr>
            </w:pPr>
            <w:r>
              <w:rPr>
                <w:sz w:val="28"/>
                <w:szCs w:val="28"/>
                <w:rFonts w:ascii="Times New Roman" w:eastAsia="Times New Roman" w:hAnsi="Times New Roman" w:cs="Times New Roman"/>
              </w:rPr>
              <w:t xml:space="preserve">Пояснення очікуваного впливу</w:t>
            </w:r>
          </w:p>
        </w:tc>
      </w:tr>
      <w:tr>
        <w:trPr>
          <w:hidden w:val="0"/>
        </w:trPr>
        <w:tc>
          <w:tcPr>
            <w:tcW w:type="dxa" w:w="2263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spacing w:lineRule="auto" w:line="240"/>
              <w:rPr>
                <w:sz w:val="28"/>
                <w:szCs w:val="28"/>
                <w:rFonts w:ascii="Times New Roman" w:eastAsia="Times New Roman" w:hAnsi="Times New Roman" w:cs="Times New Roman"/>
              </w:rPr>
            </w:pPr>
            <w:r>
              <w:rPr>
                <w:sz w:val="28"/>
                <w:szCs w:val="28"/>
                <w:rFonts w:ascii="Times New Roman" w:eastAsia="Times New Roman" w:hAnsi="Times New Roman" w:cs="Times New Roman"/>
              </w:rPr>
              <w:t>Населення</w:t>
            </w:r>
          </w:p>
        </w:tc>
        <w:tc>
          <w:tcPr>
            <w:tcW w:type="dxa" w:w="2694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spacing w:lineRule="auto" w:line="240"/>
              <w:rPr>
                <w:sz w:val="28"/>
                <w:szCs w:val="28"/>
                <w:rFonts w:ascii="Times New Roman" w:eastAsia="Times New Roman" w:hAnsi="Times New Roman" w:cs="Times New Roman"/>
              </w:rPr>
            </w:pPr>
            <w:r>
              <w:rPr>
                <w:sz w:val="28"/>
                <w:szCs w:val="28"/>
                <w:rFonts w:ascii="Times New Roman" w:eastAsia="Times New Roman" w:hAnsi="Times New Roman" w:cs="Times New Roman"/>
              </w:rPr>
              <w:t>Позитивний</w:t>
            </w:r>
          </w:p>
        </w:tc>
        <w:tc>
          <w:tcPr>
            <w:tcW w:type="dxa" w:w="4672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spacing w:lineRule="auto" w:line="240"/>
              <w:rPr>
                <w:sz w:val="28"/>
                <w:szCs w:val="28"/>
                <w:rFonts w:ascii="Times New Roman" w:eastAsia="Times New Roman" w:hAnsi="Times New Roman" w:cs="Times New Roman"/>
              </w:rPr>
            </w:pPr>
            <w:r>
              <w:rPr>
                <w:sz w:val="28"/>
                <w:szCs w:val="28"/>
                <w:rFonts w:ascii="Times New Roman" w:eastAsia="Times New Roman" w:hAnsi="Times New Roman" w:cs="Times New Roman"/>
              </w:rPr>
              <w:t xml:space="preserve">Реалізація акта н</w:t>
            </w:r>
            <w:r>
              <w:rPr>
                <w:sz w:val="28"/>
                <w:szCs w:val="28"/>
                <w:highlight w:val="white"/>
                <w:rFonts w:ascii="Times New Roman" w:eastAsia="Times New Roman" w:hAnsi="Times New Roman" w:cs="Times New Roman"/>
              </w:rPr>
              <w:t xml:space="preserve">адасть можливість </w:t>
            </w:r>
            <w:r>
              <w:rPr>
                <w:sz w:val="28"/>
                <w:szCs w:val="28"/>
                <w:highlight w:val="white"/>
                <w:rFonts w:ascii="Times New Roman" w:eastAsia="Times New Roman" w:hAnsi="Times New Roman" w:cs="Times New Roman"/>
              </w:rPr>
              <w:t xml:space="preserve">користуватися мобільним зв'язком у </w:t>
            </w:r>
            <w:r>
              <w:rPr>
                <w:sz w:val="28"/>
                <w:szCs w:val="28"/>
                <w:highlight w:val="white"/>
                <w:rFonts w:ascii="Times New Roman" w:eastAsia="Times New Roman" w:hAnsi="Times New Roman" w:cs="Times New Roman"/>
              </w:rPr>
              <w:t xml:space="preserve">тих населених пунктах, де він на </w:t>
            </w:r>
            <w:r>
              <w:rPr>
                <w:sz w:val="28"/>
                <w:szCs w:val="28"/>
                <w:highlight w:val="white"/>
                <w:rFonts w:ascii="Times New Roman" w:eastAsia="Times New Roman" w:hAnsi="Times New Roman" w:cs="Times New Roman"/>
              </w:rPr>
              <w:t xml:space="preserve">сьогодні відсутній</w:t>
            </w:r>
          </w:p>
        </w:tc>
      </w:tr>
      <w:tr>
        <w:trPr>
          <w:hidden w:val="0"/>
        </w:trPr>
        <w:tc>
          <w:tcPr>
            <w:tcW w:type="dxa" w:w="2263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spacing w:lineRule="auto" w:line="240"/>
              <w:rPr>
                <w:sz w:val="28"/>
                <w:szCs w:val="28"/>
                <w:rFonts w:ascii="Times New Roman" w:eastAsia="Times New Roman" w:hAnsi="Times New Roman" w:cs="Times New Roman"/>
              </w:rPr>
            </w:pPr>
            <w:r>
              <w:rPr>
                <w:sz w:val="28"/>
                <w:szCs w:val="28"/>
                <w:rFonts w:ascii="Times New Roman" w:eastAsia="Times New Roman" w:hAnsi="Times New Roman" w:cs="Times New Roman"/>
              </w:rPr>
              <w:t xml:space="preserve">Оператори </w:t>
            </w:r>
            <w:r>
              <w:rPr>
                <w:sz w:val="28"/>
                <w:szCs w:val="28"/>
                <w:rFonts w:ascii="Times New Roman" w:eastAsia="Times New Roman" w:hAnsi="Times New Roman" w:cs="Times New Roman"/>
              </w:rPr>
              <w:t>телекомунікацій</w:t>
            </w:r>
          </w:p>
        </w:tc>
        <w:tc>
          <w:tcPr>
            <w:tcW w:type="dxa" w:w="2694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spacing w:lineRule="auto" w:line="240"/>
              <w:rPr>
                <w:sz w:val="28"/>
                <w:szCs w:val="28"/>
                <w:rFonts w:ascii="Times New Roman" w:eastAsia="Times New Roman" w:hAnsi="Times New Roman" w:cs="Times New Roman"/>
              </w:rPr>
            </w:pPr>
            <w:r>
              <w:rPr>
                <w:sz w:val="28"/>
                <w:szCs w:val="28"/>
                <w:rFonts w:ascii="Times New Roman" w:eastAsia="Times New Roman" w:hAnsi="Times New Roman" w:cs="Times New Roman"/>
              </w:rPr>
              <w:t>Позитивний</w:t>
            </w:r>
          </w:p>
          <w:p>
            <w:pPr>
              <w:jc w:val="center"/>
              <w:spacing w:lineRule="auto" w:line="240"/>
              <w:rPr>
                <w:sz w:val="28"/>
                <w:szCs w:val="28"/>
                <w:rFonts w:ascii="Times New Roman" w:eastAsia="Times New Roman" w:hAnsi="Times New Roman" w:cs="Times New Roman"/>
              </w:rPr>
            </w:pPr>
          </w:p>
        </w:tc>
        <w:tc>
          <w:tcPr>
            <w:tcW w:type="dxa" w:w="4672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spacing w:lineRule="auto" w:line="240"/>
              <w:rPr>
                <w:sz w:val="28"/>
                <w:szCs w:val="28"/>
                <w:rFonts w:ascii="Times New Roman" w:eastAsia="Times New Roman" w:hAnsi="Times New Roman" w:cs="Times New Roman"/>
              </w:rPr>
            </w:pPr>
            <w:r>
              <w:rPr>
                <w:sz w:val="28"/>
                <w:szCs w:val="28"/>
                <w:rFonts w:ascii="Times New Roman" w:eastAsia="Times New Roman" w:hAnsi="Times New Roman" w:cs="Times New Roman"/>
              </w:rPr>
              <w:t xml:space="preserve">Реалізація акта надасть можливість </w:t>
            </w:r>
            <w:r>
              <w:rPr>
                <w:sz w:val="28"/>
                <w:szCs w:val="28"/>
                <w:rFonts w:ascii="Times New Roman" w:eastAsia="Times New Roman" w:hAnsi="Times New Roman" w:cs="Times New Roman"/>
              </w:rPr>
              <w:t xml:space="preserve">чітко прогнозувати операційну та </w:t>
            </w:r>
            <w:r>
              <w:rPr>
                <w:sz w:val="28"/>
                <w:szCs w:val="28"/>
                <w:rFonts w:ascii="Times New Roman" w:eastAsia="Times New Roman" w:hAnsi="Times New Roman" w:cs="Times New Roman"/>
              </w:rPr>
              <w:t xml:space="preserve">інвестиційну діяльність, швидше </w:t>
            </w:r>
            <w:r>
              <w:rPr>
                <w:sz w:val="28"/>
                <w:szCs w:val="28"/>
                <w:rFonts w:ascii="Times New Roman" w:eastAsia="Times New Roman" w:hAnsi="Times New Roman" w:cs="Times New Roman"/>
              </w:rPr>
              <w:t xml:space="preserve">покрити територію України базовими </w:t>
            </w:r>
            <w:r>
              <w:rPr>
                <w:sz w:val="28"/>
                <w:szCs w:val="28"/>
                <w:rFonts w:ascii="Times New Roman" w:eastAsia="Times New Roman" w:hAnsi="Times New Roman" w:cs="Times New Roman"/>
              </w:rPr>
              <w:t xml:space="preserve">станціями рухомого (мобільного) </w:t>
            </w:r>
            <w:r>
              <w:rPr>
                <w:sz w:val="28"/>
                <w:szCs w:val="28"/>
                <w:rFonts w:ascii="Times New Roman" w:eastAsia="Times New Roman" w:hAnsi="Times New Roman" w:cs="Times New Roman"/>
              </w:rPr>
              <w:t xml:space="preserve">зв’язку та забезпечити зв'язком ті </w:t>
            </w:r>
            <w:r>
              <w:rPr>
                <w:sz w:val="28"/>
                <w:szCs w:val="28"/>
                <w:rFonts w:ascii="Times New Roman" w:eastAsia="Times New Roman" w:hAnsi="Times New Roman" w:cs="Times New Roman"/>
              </w:rPr>
              <w:t xml:space="preserve">населені пункти, де він на сьогодні </w:t>
            </w:r>
            <w:r>
              <w:rPr>
                <w:sz w:val="28"/>
                <w:szCs w:val="28"/>
                <w:rFonts w:ascii="Times New Roman" w:eastAsia="Times New Roman" w:hAnsi="Times New Roman" w:cs="Times New Roman"/>
              </w:rPr>
              <w:t>відсутній</w:t>
            </w:r>
          </w:p>
        </w:tc>
      </w:tr>
    </w:tbl>
    <w:p>
      <w:pPr>
        <w:jc w:val="both"/>
        <w:spacing w:lineRule="auto" w:line="240" w:before="120"/>
        <w:ind w:firstLine="567"/>
        <w:rPr>
          <w:sz w:val="28"/>
          <w:szCs w:val="28"/>
          <w:rFonts w:ascii="Times New Roman" w:eastAsia="Times New Roman" w:hAnsi="Times New Roman" w:cs="Times New Roman"/>
        </w:rPr>
      </w:pPr>
    </w:p>
    <w:p>
      <w:pPr>
        <w:jc w:val="both"/>
        <w:spacing w:lineRule="auto" w:line="240"/>
        <w:rPr>
          <w:b w:val="1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Віце-прем'єр-міністр України – Міністр</w:t>
      </w:r>
    </w:p>
    <w:p>
      <w:pPr>
        <w:jc w:val="both"/>
        <w:spacing w:lineRule="auto" w:line="240"/>
        <w:rPr>
          <w:b w:val="1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цифрової трансформації України</w:t>
      </w:r>
      <w:r>
        <w:rPr>
          <w:b w:val="1"/>
          <w:sz w:val="28"/>
          <w:szCs w:val="28"/>
          <w:rFonts w:ascii="Times New Roman" w:eastAsia="Times New Roman" w:hAnsi="Times New Roman" w:cs="Times New Roman"/>
        </w:rPr>
        <w:tab/>
      </w:r>
      <w:r>
        <w:rPr>
          <w:b w:val="1"/>
          <w:sz w:val="28"/>
          <w:szCs w:val="28"/>
          <w:rFonts w:ascii="Times New Roman" w:eastAsia="Times New Roman" w:hAnsi="Times New Roman" w:cs="Times New Roman"/>
        </w:rPr>
        <w:tab/>
      </w:r>
      <w:r>
        <w:rPr>
          <w:b w:val="1"/>
          <w:sz w:val="28"/>
          <w:szCs w:val="28"/>
          <w:rFonts w:ascii="Times New Roman" w:eastAsia="Times New Roman" w:hAnsi="Times New Roman" w:cs="Times New Roman"/>
        </w:rPr>
        <w:tab/>
      </w:r>
      <w:r>
        <w:rPr>
          <w:b w:val="1"/>
          <w:sz w:val="28"/>
          <w:szCs w:val="28"/>
          <w:rFonts w:ascii="Times New Roman" w:eastAsia="Times New Roman" w:hAnsi="Times New Roman" w:cs="Times New Roman"/>
        </w:rPr>
        <w:tab/>
      </w: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      Михайло ФЕДОРОВ</w:t>
      </w:r>
    </w:p>
    <w:p>
      <w:pPr>
        <w:jc w:val="both"/>
        <w:spacing w:lineRule="auto" w:line="240" w:before="120"/>
        <w:rPr>
          <w:sz w:val="28"/>
          <w:szCs w:val="28"/>
          <w:rFonts w:ascii="Times New Roman" w:eastAsia="Times New Roman" w:hAnsi="Times New Roman" w:cs="Times New Roman"/>
        </w:rPr>
      </w:pPr>
      <w:r>
        <w:rPr>
          <w:sz w:val="28"/>
          <w:szCs w:val="28"/>
          <w:rFonts w:ascii="Times New Roman" w:eastAsia="Times New Roman" w:hAnsi="Times New Roman" w:cs="Times New Roman"/>
        </w:rPr>
        <w:t xml:space="preserve">«____» ____________ 2021 р.</w:t>
      </w:r>
    </w:p>
    <w:sectPr>
      <w:titlePg/>
      <w15:footnoteColumns w:val="1"/>
      <w:headerReference w:type="default" r:id="rId5"/>
      <w:footerReference w:type="first" r:id="rId6"/>
      <w:pgSz w:w="11909" w:h="16834"/>
      <w:pgMar w:top="993" w:left="1701" w:bottom="1276" w:right="569" w:header="568" w:footer="57" w:gutter="0"/>
      <w:pgNumType w:fmt="decimal" w:start="1"/>
      <w:docGrid w:type="default" w:linePitch="299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 w15">
  <w:p>
    <w:pPr>
      <w:rPr/>
    </w:pPr>
  </w:p>
  <w:p>
    <w:pPr>
      <w:rPr/>
    </w:pPr>
  </w:p>
  <w:p>
    <w:pPr>
      <w:rPr/>
    </w:pPr>
  </w:p>
  <w:p>
    <w:pPr>
      <w:rPr/>
    </w:pPr>
  </w:p>
  <w:p>
    <w:pPr>
      <w:rPr/>
    </w:pPr>
  </w:p>
  <w:p>
    <w:pPr>
      <w:rPr/>
    </w:pPr>
  </w:p>
  <w:p>
    <w:pPr>
      <w:rPr/>
    </w:pPr>
  </w:p>
  <w:p>
    <w:pPr>
      <w:rPr/>
    </w:pPr>
  </w:p>
</w:ft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 w15">
  <w:p>
    <w:pPr>
      <w:jc w:val="center"/>
      <w:spacing w:lineRule="auto" w:line="240"/>
      <w:pBdr>
        <w:top w:val="nil" w:sz="0" w:space="0" w:color="000000"/>
        <w:bottom w:val="nil" w:sz="0" w:space="0" w:color="000000"/>
        <w:left w:val="nil" w:sz="0" w:space="0" w:color="000000"/>
        <w:right w:val="nil" w:sz="0" w:space="0" w:color="000000"/>
        <w:between w:val="nil" w:sz="0" w:space="0" w:color="000000"/>
      </w:pBdr>
      <w:tabs>
        <w:tab w:val="center" w:pos="4819"/>
        <w:tab w:val="right" w:pos="9639"/>
      </w:tabs>
      <w:rPr>
        <w:color w:val="000000"/>
        <w:highlight w:val="yellow"/>
      </w:rPr>
    </w:pPr>
    <w:r>
      <w:rPr>
        <w:color w:val="000000"/>
        <w:sz w:val="28"/>
        <w:szCs w:val="28"/>
        <w:rFonts w:ascii="Times New Roman" w:eastAsia="Times New Roman" w:hAnsi="Times New Roman" w:cs="Times New Roman"/>
      </w:rPr>
      <w:fldChar w:fldCharType="begin"/>
    </w:r>
    <w:r>
      <w:rPr>
        <w:rFonts w:hint="eastAsia"/>
      </w:rPr>
      <w:instrText>PAGE  \* MERGEFORMAT</w:instrText>
    </w:r>
    <w:r>
      <w:fldChar w:fldCharType="separate"/>
    </w:r>
    <w:r>
      <w:rPr>
        <w:color w:val="000000"/>
        <w:sz w:val="28"/>
        <w:szCs w:val="28"/>
        <w:rFonts w:ascii="Times New Roman" w:eastAsia="Times New Roman" w:hAnsi="Times New Roman" w:cs="Times New Roman"/>
      </w:rPr>
      <w:t>2</w:t>
    </w:r>
    <w:r>
      <w:rPr>
        <w:color w:val="000000"/>
        <w:sz w:val="28"/>
        <w:szCs w:val="28"/>
        <w:rFonts w:ascii="Times New Roman" w:eastAsia="Times New Roman" w:hAnsi="Times New Roman" w:cs="Times New Roman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compat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lineRule="auto" w:line="275"/>
        <w:rPr/>
      </w:pPr>
    </w:pPrDefault>
    <w:rPrDefault>
      <w:rPr>
        <w:sz w:val="22"/>
        <w:szCs w:val="22"/>
        <w:rFonts w:ascii="Arial" w:eastAsia="Arial" w:hAnsi="Arial" w:cs="Arial"/>
        <w:lang w:bidi="ar-SA" w:eastAsia="en-US" w:val="uk-UA"/>
      </w:rPr>
    </w:rPrDefault>
  </w:docDefaults>
  <w:style w:default="1" w:styleId="PO1" w:type="paragraph">
    <w:name w:val="Normal"/>
    <w:qFormat/>
    <w:uiPriority w:val="1"/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qFormat/>
    <w:uiPriority w:val="5"/>
    <w:pPr>
      <w:spacing w:lineRule="auto" w:line="240"/>
      <w:rPr/>
    </w:pPr>
  </w:style>
  <w:style w:styleId="PO6" w:type="paragraph">
    <w:name w:val="Title"/>
    <w:basedOn w:val="PO1"/>
    <w:next w:val="PO1"/>
    <w:qFormat/>
    <w:uiPriority w:val="6"/>
    <w:pPr>
      <w:spacing w:after="60"/>
      <w:rPr/>
    </w:pPr>
    <w:rPr>
      <w:sz w:val="52"/>
      <w:szCs w:val="52"/>
    </w:rPr>
  </w:style>
  <w:style w:styleId="PO7" w:type="paragraph">
    <w:name w:val="heading 1"/>
    <w:basedOn w:val="PO1"/>
    <w:next w:val="PO1"/>
    <w:qFormat/>
    <w:uiPriority w:val="7"/>
    <w:pPr>
      <w:spacing w:before="400" w:after="120"/>
      <w:rPr/>
      <w:outlineLvl w:val="0"/>
    </w:pPr>
    <w:rPr>
      <w:sz w:val="40"/>
      <w:szCs w:val="40"/>
    </w:rPr>
  </w:style>
  <w:style w:styleId="PO8" w:type="paragraph">
    <w:name w:val="heading 2"/>
    <w:basedOn w:val="PO1"/>
    <w:next w:val="PO1"/>
    <w:qFormat/>
    <w:uiPriority w:val="8"/>
    <w:semiHidden/>
    <w:unhideWhenUsed/>
    <w:pPr>
      <w:spacing w:before="360" w:after="120"/>
      <w:rPr/>
      <w:outlineLvl w:val="1"/>
    </w:pPr>
    <w:rPr>
      <w:sz w:val="32"/>
      <w:szCs w:val="32"/>
    </w:rPr>
  </w:style>
  <w:style w:styleId="PO9" w:type="paragraph">
    <w:name w:val="heading 3"/>
    <w:basedOn w:val="PO1"/>
    <w:next w:val="PO1"/>
    <w:qFormat/>
    <w:uiPriority w:val="9"/>
    <w:semiHidden/>
    <w:unhideWhenUsed/>
    <w:pPr>
      <w:spacing w:before="320" w:after="80"/>
      <w:rPr/>
      <w:outlineLvl w:val="2"/>
    </w:pPr>
    <w:rPr>
      <w:color w:val="434343"/>
      <w:sz w:val="28"/>
      <w:szCs w:val="28"/>
    </w:rPr>
  </w:style>
  <w:style w:styleId="PO10" w:type="paragraph">
    <w:name w:val="heading 4"/>
    <w:basedOn w:val="PO1"/>
    <w:next w:val="PO1"/>
    <w:qFormat/>
    <w:uiPriority w:val="10"/>
    <w:semiHidden/>
    <w:unhideWhenUsed/>
    <w:pPr>
      <w:spacing w:before="280" w:after="80"/>
      <w:rPr/>
      <w:outlineLvl w:val="3"/>
    </w:pPr>
    <w:rPr>
      <w:color w:val="666666"/>
      <w:sz w:val="24"/>
      <w:szCs w:val="24"/>
    </w:rPr>
  </w:style>
  <w:style w:styleId="PO11" w:type="paragraph">
    <w:name w:val="heading 5"/>
    <w:basedOn w:val="PO1"/>
    <w:next w:val="PO1"/>
    <w:qFormat/>
    <w:uiPriority w:val="11"/>
    <w:semiHidden/>
    <w:unhideWhenUsed/>
    <w:pPr>
      <w:spacing w:before="240" w:after="80"/>
      <w:rPr/>
      <w:outlineLvl w:val="4"/>
    </w:pPr>
    <w:rPr>
      <w:color w:val="666666"/>
    </w:rPr>
  </w:style>
  <w:style w:styleId="PO12" w:type="paragraph">
    <w:name w:val="heading 6"/>
    <w:basedOn w:val="PO1"/>
    <w:next w:val="PO1"/>
    <w:qFormat/>
    <w:uiPriority w:val="12"/>
    <w:semiHidden/>
    <w:unhideWhenUsed/>
    <w:pPr>
      <w:spacing w:before="240" w:after="80"/>
      <w:rPr/>
      <w:outlineLvl w:val="5"/>
    </w:pPr>
    <w:rPr>
      <w:i w:val="1"/>
      <w:color w:val="666666"/>
    </w:rPr>
  </w:style>
  <w:style w:styleId="PO16" w:type="paragraph">
    <w:name w:val="Subtitle"/>
    <w:basedOn w:val="PO1"/>
    <w:next w:val="PO1"/>
    <w:qFormat/>
    <w:uiPriority w:val="16"/>
    <w:pPr>
      <w:spacing w:after="320"/>
      <w:rPr/>
    </w:pPr>
    <w:rPr>
      <w:color w:val="666666"/>
      <w:sz w:val="30"/>
      <w:szCs w:val="30"/>
    </w:rPr>
  </w:style>
  <w:style w:customStyle="1" w:styleId="PO151" w:type="table">
    <w:name w:val="Table Normal"/>
    <w:uiPriority w:val="151"/>
    <w:tblPr>
      <w:tblCellMar>
        <w:bottom w:type="dxa" w:w="0"/>
        <w:left w:type="dxa" w:w="0"/>
        <w:right w:type="dxa" w:w="0"/>
        <w:top w:type="dxa" w:w="0"/>
      </w:tblCellMar>
    </w:tblPr>
  </w:style>
  <w:style w:customStyle="1" w:styleId="PO152" w:type="table">
    <w:name w:val="Standard"/>
    <w:basedOn w:val="PO151"/>
    <w:uiPriority w:val="152"/>
    <w:tblPr>
      <w:tblCellMar>
        <w:bottom w:type="dxa" w:w="0"/>
        <w:left w:type="dxa" w:w="115"/>
        <w:right w:type="dxa" w:w="115"/>
        <w:top w:type="dxa" w:w="0"/>
      </w:tblCellMar>
      <w:tblStyleColBandSize w:val="1"/>
      <w:tblStyleRowBandSize w:val="1"/>
    </w:tblPr>
  </w:style>
  <w:style w:styleId="PO153" w:type="paragraph">
    <w:name w:val="header"/>
    <w:basedOn w:val="PO1"/>
    <w:link w:val="PO154"/>
    <w:uiPriority w:val="153"/>
    <w:unhideWhenUsed/>
    <w:pPr>
      <w:spacing w:lineRule="auto" w:line="240"/>
      <w:tabs>
        <w:tab w:val="center" w:pos="4819"/>
        <w:tab w:val="right" w:pos="9639"/>
      </w:tabs>
      <w:rPr/>
    </w:pPr>
  </w:style>
  <w:style w:customStyle="1" w:styleId="PO154" w:type="character">
    <w:name w:val="Верхній колонтитул Знак"/>
    <w:basedOn w:val="PO2"/>
    <w:link w:val="PO153"/>
    <w:uiPriority w:val="154"/>
  </w:style>
  <w:style w:styleId="PO155" w:type="paragraph">
    <w:name w:val="footer"/>
    <w:basedOn w:val="PO1"/>
    <w:link w:val="PO156"/>
    <w:uiPriority w:val="155"/>
    <w:unhideWhenUsed/>
    <w:pPr>
      <w:spacing w:lineRule="auto" w:line="240"/>
      <w:tabs>
        <w:tab w:val="center" w:pos="4819"/>
        <w:tab w:val="right" w:pos="9639"/>
      </w:tabs>
      <w:rPr/>
    </w:pPr>
  </w:style>
  <w:style w:customStyle="1" w:styleId="PO156" w:type="character">
    <w:name w:val="Нижній колонтитул Знак"/>
    <w:basedOn w:val="PO2"/>
    <w:link w:val="PO155"/>
    <w:uiPriority w:val="1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eader" Target="header2.xml"></Relationship><Relationship Id="rId6" Type="http://schemas.openxmlformats.org/officeDocument/2006/relationships/footer" Target="footer3.xm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7948</Characters>
  <CharactersWithSpaces>0</CharactersWithSpaces>
  <DocSecurity>0</DocSecurity>
  <HyperlinksChanged>false</HyperlinksChanged>
  <Lines>56</Lines>
  <LinksUpToDate>false</LinksUpToDate>
  <Pages>4</Pages>
  <Paragraphs>15</Paragraphs>
  <Words>1188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Кічак Юлія Василівна</dc:creator>
  <cp:lastModifiedBy/>
  <dcterms:modified xsi:type="dcterms:W3CDTF">2021-01-22T10:22:00Z</dcterms:modified>
</cp:coreProperties>
</file>