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23DE" w14:textId="0D2E12E5" w:rsidR="002476B8" w:rsidRPr="001378D7" w:rsidRDefault="0058768A" w:rsidP="00382162">
      <w:pPr>
        <w:spacing w:line="240" w:lineRule="auto"/>
        <w:jc w:val="center"/>
        <w:rPr>
          <w:rFonts w:ascii="Times New Roman" w:eastAsia="Times New Roman" w:hAnsi="Times New Roman" w:cs="Times New Roman"/>
          <w:b/>
          <w:sz w:val="24"/>
          <w:szCs w:val="24"/>
          <w:lang w:val="uk-UA"/>
        </w:rPr>
      </w:pPr>
      <w:r w:rsidRPr="001378D7">
        <w:rPr>
          <w:rFonts w:ascii="Times New Roman" w:eastAsia="Times New Roman" w:hAnsi="Times New Roman" w:cs="Times New Roman"/>
          <w:b/>
          <w:sz w:val="24"/>
          <w:szCs w:val="24"/>
          <w:lang w:val="uk-UA"/>
        </w:rPr>
        <w:t>ПОРІВНЯЛЬНА ТАБЛИЦЯ</w:t>
      </w:r>
    </w:p>
    <w:p w14:paraId="132FC5C1" w14:textId="55B2C9D2" w:rsidR="002476B8" w:rsidRPr="001378D7" w:rsidRDefault="0058768A" w:rsidP="006B1322">
      <w:pPr>
        <w:spacing w:line="240" w:lineRule="auto"/>
        <w:jc w:val="center"/>
        <w:rPr>
          <w:rFonts w:ascii="Times New Roman" w:eastAsia="Times New Roman" w:hAnsi="Times New Roman" w:cs="Times New Roman"/>
          <w:b/>
          <w:sz w:val="24"/>
          <w:szCs w:val="24"/>
          <w:lang w:val="uk-UA"/>
        </w:rPr>
      </w:pPr>
      <w:r w:rsidRPr="001378D7">
        <w:rPr>
          <w:rFonts w:ascii="Times New Roman" w:eastAsia="Times New Roman" w:hAnsi="Times New Roman" w:cs="Times New Roman"/>
          <w:b/>
          <w:sz w:val="24"/>
          <w:szCs w:val="24"/>
          <w:lang w:val="uk-UA"/>
        </w:rPr>
        <w:t>до проекту постанови Кабінету Міністрів України “</w:t>
      </w:r>
      <w:r w:rsidR="006B1322" w:rsidRPr="001378D7">
        <w:rPr>
          <w:rFonts w:ascii="Times New Roman" w:eastAsia="Times New Roman" w:hAnsi="Times New Roman" w:cs="Times New Roman"/>
          <w:b/>
          <w:sz w:val="24"/>
          <w:szCs w:val="24"/>
          <w:lang w:val="uk-UA"/>
        </w:rPr>
        <w:t xml:space="preserve">Про внесення змін до </w:t>
      </w:r>
      <w:r w:rsidR="00A4213C" w:rsidRPr="00A4213C">
        <w:rPr>
          <w:rFonts w:ascii="Times New Roman" w:eastAsia="Times New Roman" w:hAnsi="Times New Roman" w:cs="Times New Roman"/>
          <w:b/>
          <w:sz w:val="24"/>
          <w:szCs w:val="24"/>
          <w:lang w:val="uk-UA"/>
        </w:rPr>
        <w:t>Порядку проведення процедури оцінки відповідності у сфері електронних довірчих послуг</w:t>
      </w:r>
      <w:r w:rsidR="00A4213C" w:rsidRPr="00A4213C" w:rsidDel="00A4213C">
        <w:rPr>
          <w:rFonts w:ascii="Times New Roman" w:eastAsia="Times New Roman" w:hAnsi="Times New Roman" w:cs="Times New Roman"/>
          <w:b/>
          <w:sz w:val="24"/>
          <w:szCs w:val="24"/>
          <w:lang w:val="uk-UA"/>
        </w:rPr>
        <w:t xml:space="preserve"> </w:t>
      </w:r>
      <w:r w:rsidR="00D65A86" w:rsidRPr="001378D7">
        <w:rPr>
          <w:rFonts w:ascii="Times New Roman" w:eastAsia="Times New Roman" w:hAnsi="Times New Roman" w:cs="Times New Roman"/>
          <w:b/>
          <w:sz w:val="24"/>
          <w:szCs w:val="24"/>
          <w:lang w:val="uk-UA"/>
        </w:rPr>
        <w:t>”</w:t>
      </w:r>
    </w:p>
    <w:p w14:paraId="51017DA7" w14:textId="658A40FC" w:rsidR="007E09C2" w:rsidRPr="001378D7" w:rsidRDefault="007E09C2" w:rsidP="00382162">
      <w:pPr>
        <w:spacing w:line="240" w:lineRule="auto"/>
        <w:jc w:val="both"/>
        <w:rPr>
          <w:rFonts w:ascii="Times New Roman" w:eastAsia="Times New Roman" w:hAnsi="Times New Roman" w:cs="Times New Roman"/>
          <w:bCs/>
          <w:sz w:val="24"/>
          <w:szCs w:val="24"/>
          <w:lang w:val="uk-UA"/>
        </w:rPr>
      </w:pPr>
    </w:p>
    <w:p w14:paraId="03EBEEA0" w14:textId="77777777" w:rsidR="00CD4CFB" w:rsidRPr="001378D7" w:rsidRDefault="00CD4CFB" w:rsidP="00382162">
      <w:pPr>
        <w:spacing w:line="240" w:lineRule="auto"/>
        <w:jc w:val="both"/>
        <w:rPr>
          <w:rFonts w:ascii="Times New Roman" w:eastAsia="Times New Roman" w:hAnsi="Times New Roman" w:cs="Times New Roman"/>
          <w:bCs/>
          <w:sz w:val="24"/>
          <w:szCs w:val="24"/>
          <w:lang w:val="uk-UA"/>
        </w:rPr>
      </w:pPr>
    </w:p>
    <w:tbl>
      <w:tblPr>
        <w:tblStyle w:val="ad"/>
        <w:tblW w:w="14175" w:type="dxa"/>
        <w:tblInd w:w="562" w:type="dxa"/>
        <w:tblLook w:val="04A0" w:firstRow="1" w:lastRow="0" w:firstColumn="1" w:lastColumn="0" w:noHBand="0" w:noVBand="1"/>
      </w:tblPr>
      <w:tblGrid>
        <w:gridCol w:w="7278"/>
        <w:gridCol w:w="6897"/>
      </w:tblGrid>
      <w:tr w:rsidR="00B46FD2" w:rsidRPr="001378D7" w14:paraId="6B0DB9A7" w14:textId="77777777" w:rsidTr="00255893">
        <w:tc>
          <w:tcPr>
            <w:tcW w:w="7278" w:type="dxa"/>
          </w:tcPr>
          <w:p w14:paraId="0EAD9486" w14:textId="47405D37" w:rsidR="00B46FD2" w:rsidRPr="001378D7" w:rsidRDefault="00B46FD2" w:rsidP="00382162">
            <w:pPr>
              <w:jc w:val="center"/>
              <w:rPr>
                <w:rFonts w:ascii="Times New Roman" w:eastAsia="Times New Roman" w:hAnsi="Times New Roman" w:cs="Times New Roman"/>
                <w:b/>
                <w:bCs/>
                <w:sz w:val="24"/>
                <w:szCs w:val="24"/>
                <w:lang w:val="uk-UA"/>
              </w:rPr>
            </w:pPr>
            <w:r w:rsidRPr="001378D7">
              <w:rPr>
                <w:rFonts w:ascii="Times New Roman" w:hAnsi="Times New Roman" w:cs="Times New Roman"/>
                <w:b/>
                <w:bCs/>
                <w:sz w:val="24"/>
                <w:szCs w:val="24"/>
                <w:lang w:val="uk-UA"/>
              </w:rPr>
              <w:t>Зміст положення акта законодавства</w:t>
            </w:r>
          </w:p>
        </w:tc>
        <w:tc>
          <w:tcPr>
            <w:tcW w:w="6897" w:type="dxa"/>
          </w:tcPr>
          <w:p w14:paraId="3427845D" w14:textId="0B44D668" w:rsidR="00B46FD2" w:rsidRPr="001378D7" w:rsidRDefault="00B46FD2" w:rsidP="00382162">
            <w:pPr>
              <w:jc w:val="center"/>
              <w:rPr>
                <w:rFonts w:ascii="Times New Roman" w:eastAsia="Times New Roman" w:hAnsi="Times New Roman" w:cs="Times New Roman"/>
                <w:b/>
                <w:bCs/>
                <w:sz w:val="24"/>
                <w:szCs w:val="24"/>
                <w:lang w:val="uk-UA"/>
              </w:rPr>
            </w:pPr>
            <w:r w:rsidRPr="001378D7">
              <w:rPr>
                <w:rFonts w:ascii="Times New Roman" w:hAnsi="Times New Roman" w:cs="Times New Roman"/>
                <w:b/>
                <w:bCs/>
                <w:sz w:val="24"/>
                <w:szCs w:val="24"/>
                <w:lang w:val="uk-UA"/>
              </w:rPr>
              <w:t>Зміст відповідного положення проекту акта</w:t>
            </w:r>
          </w:p>
        </w:tc>
      </w:tr>
      <w:tr w:rsidR="005D5701" w:rsidRPr="001378D7" w14:paraId="4D71C367" w14:textId="77777777" w:rsidTr="00255893">
        <w:tc>
          <w:tcPr>
            <w:tcW w:w="14175" w:type="dxa"/>
            <w:gridSpan w:val="2"/>
          </w:tcPr>
          <w:p w14:paraId="5530D53F" w14:textId="2DF32656" w:rsidR="005D5701" w:rsidRPr="001378D7" w:rsidRDefault="005D5701" w:rsidP="005D5701">
            <w:pPr>
              <w:jc w:val="center"/>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Порядок проведення процедури оцінки відповідності у сфері електронних довірчих послуг, затверджений постановою Кабінету Міністрів України від 18 грудня 2018 р. № 1215</w:t>
            </w:r>
          </w:p>
        </w:tc>
      </w:tr>
      <w:tr w:rsidR="00B60267" w:rsidRPr="001378D7" w14:paraId="5B541F25" w14:textId="77777777" w:rsidTr="00255893">
        <w:tc>
          <w:tcPr>
            <w:tcW w:w="7278" w:type="dxa"/>
          </w:tcPr>
          <w:p w14:paraId="145E5F42" w14:textId="5843E3CE"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Цей Порядок встановлює механізм проведення процедури оцінки відповідності вимогам до кваліфікованих надавачів електронних довірчих послуг та послуг, що ними надаються.</w:t>
            </w:r>
          </w:p>
        </w:tc>
        <w:tc>
          <w:tcPr>
            <w:tcW w:w="6897" w:type="dxa"/>
          </w:tcPr>
          <w:p w14:paraId="037930DC" w14:textId="32518102"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Цей Порядок встановлює механізм проведення процедури оцінки відповідності вимогам до кваліфікованих надавачів електронних довірчих послуг та послуг, що ними надаються.</w:t>
            </w:r>
          </w:p>
        </w:tc>
      </w:tr>
      <w:tr w:rsidR="00B60267" w:rsidRPr="008621D2" w14:paraId="72E13B00" w14:textId="77777777" w:rsidTr="00255893">
        <w:tc>
          <w:tcPr>
            <w:tcW w:w="7278" w:type="dxa"/>
          </w:tcPr>
          <w:p w14:paraId="58ED7177" w14:textId="150DDF47"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 xml:space="preserve">2. Дія цього Порядку не </w:t>
            </w:r>
            <w:r w:rsidRPr="001E2B14">
              <w:rPr>
                <w:rFonts w:ascii="Times New Roman" w:hAnsi="Times New Roman" w:cs="Times New Roman"/>
                <w:sz w:val="24"/>
                <w:szCs w:val="24"/>
                <w:lang w:val="uk-UA"/>
              </w:rPr>
              <w:t xml:space="preserve">поширюється </w:t>
            </w:r>
            <w:r w:rsidRPr="001F5882">
              <w:rPr>
                <w:rFonts w:ascii="Times New Roman" w:hAnsi="Times New Roman" w:cs="Times New Roman"/>
                <w:sz w:val="24"/>
                <w:szCs w:val="24"/>
                <w:lang w:val="uk-UA"/>
              </w:rPr>
              <w:t>на надання кваліфікованих електронних довірчих послуг у банківській системі та під час здійснення переказу коштів.</w:t>
            </w:r>
          </w:p>
        </w:tc>
        <w:tc>
          <w:tcPr>
            <w:tcW w:w="6897" w:type="dxa"/>
          </w:tcPr>
          <w:p w14:paraId="2826C85C" w14:textId="0F0E5080" w:rsidR="00B60267" w:rsidRPr="001378D7" w:rsidRDefault="00B60267" w:rsidP="008621D2">
            <w:pPr>
              <w:ind w:firstLine="601"/>
              <w:jc w:val="both"/>
              <w:rPr>
                <w:rFonts w:ascii="Times New Roman" w:hAnsi="Times New Roman" w:cs="Times New Roman"/>
                <w:b/>
                <w:bCs/>
                <w:sz w:val="24"/>
                <w:szCs w:val="24"/>
                <w:lang w:val="uk-UA"/>
              </w:rPr>
            </w:pPr>
            <w:r w:rsidRPr="001378D7">
              <w:rPr>
                <w:rFonts w:ascii="Times New Roman" w:hAnsi="Times New Roman" w:cs="Times New Roman"/>
                <w:sz w:val="24"/>
                <w:szCs w:val="24"/>
                <w:lang w:val="uk-UA"/>
              </w:rPr>
              <w:t xml:space="preserve">2. Дія цього Порядку не поширюється </w:t>
            </w:r>
            <w:r w:rsidR="001F5882" w:rsidRPr="001F5882">
              <w:rPr>
                <w:rFonts w:ascii="Times New Roman" w:hAnsi="Times New Roman" w:cs="Times New Roman"/>
                <w:sz w:val="24"/>
                <w:szCs w:val="24"/>
                <w:lang w:val="uk-UA"/>
              </w:rPr>
              <w:t>на надання кваліфікованих електронних довірчих послуг у банківській системі та під</w:t>
            </w:r>
            <w:r w:rsidR="008621D2">
              <w:rPr>
                <w:rFonts w:ascii="Times New Roman" w:hAnsi="Times New Roman" w:cs="Times New Roman"/>
                <w:sz w:val="24"/>
                <w:szCs w:val="24"/>
                <w:lang w:val="uk-UA"/>
              </w:rPr>
              <w:t xml:space="preserve"> час здійснення переказу коштів, </w:t>
            </w:r>
            <w:r w:rsidR="008621D2" w:rsidRPr="000B4B30">
              <w:rPr>
                <w:rFonts w:ascii="Times New Roman" w:hAnsi="Times New Roman" w:cs="Times New Roman"/>
                <w:sz w:val="24"/>
                <w:szCs w:val="24"/>
                <w:lang w:val="uk-UA"/>
              </w:rPr>
              <w:t xml:space="preserve">а також </w:t>
            </w:r>
            <w:r w:rsidR="008621D2" w:rsidRPr="000B4B30">
              <w:rPr>
                <w:rFonts w:ascii="Times New Roman" w:hAnsi="Times New Roman" w:cs="Times New Roman"/>
                <w:b/>
                <w:bCs/>
                <w:sz w:val="24"/>
                <w:szCs w:val="24"/>
                <w:lang w:val="uk-UA"/>
              </w:rPr>
              <w:t>на</w:t>
            </w:r>
            <w:r w:rsidR="001F5882">
              <w:rPr>
                <w:rFonts w:ascii="Times New Roman" w:hAnsi="Times New Roman" w:cs="Times New Roman"/>
                <w:sz w:val="24"/>
                <w:szCs w:val="24"/>
                <w:lang w:val="uk-UA"/>
              </w:rPr>
              <w:t xml:space="preserve"> </w:t>
            </w:r>
            <w:r w:rsidRPr="000B4B30">
              <w:rPr>
                <w:rFonts w:ascii="Times New Roman" w:hAnsi="Times New Roman" w:cs="Times New Roman"/>
                <w:b/>
                <w:bCs/>
                <w:sz w:val="24"/>
                <w:szCs w:val="24"/>
                <w:lang w:val="uk-UA"/>
              </w:rPr>
              <w:t>іноземні органи з оцінки відповідності</w:t>
            </w:r>
            <w:r w:rsidR="00A302F5" w:rsidRPr="000B4B30">
              <w:rPr>
                <w:rFonts w:ascii="Times New Roman" w:hAnsi="Times New Roman" w:cs="Times New Roman"/>
                <w:b/>
                <w:bCs/>
                <w:sz w:val="24"/>
                <w:szCs w:val="24"/>
                <w:lang w:val="uk-UA"/>
              </w:rPr>
              <w:t xml:space="preserve"> у сфері електронних довірчих послуг</w:t>
            </w:r>
            <w:r w:rsidRPr="000B4B30">
              <w:rPr>
                <w:rFonts w:ascii="Times New Roman" w:hAnsi="Times New Roman" w:cs="Times New Roman"/>
                <w:b/>
                <w:bCs/>
                <w:sz w:val="24"/>
                <w:szCs w:val="24"/>
                <w:lang w:val="uk-UA"/>
              </w:rPr>
              <w:t>, акредитовані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w:t>
            </w:r>
          </w:p>
        </w:tc>
      </w:tr>
      <w:tr w:rsidR="00B60267" w:rsidRPr="008621D2" w14:paraId="64FFBD2E" w14:textId="77777777" w:rsidTr="00255893">
        <w:tc>
          <w:tcPr>
            <w:tcW w:w="7278" w:type="dxa"/>
          </w:tcPr>
          <w:p w14:paraId="5A67CFF1" w14:textId="77777777" w:rsidR="00B60267" w:rsidRPr="00120086" w:rsidRDefault="00B60267" w:rsidP="00B60267">
            <w:pPr>
              <w:pStyle w:val="rvps2"/>
              <w:shd w:val="clear" w:color="auto" w:fill="FFFFFF"/>
              <w:spacing w:before="0" w:beforeAutospacing="0" w:after="0" w:afterAutospacing="0"/>
              <w:ind w:firstLine="450"/>
              <w:jc w:val="both"/>
              <w:rPr>
                <w:lang w:val="uk-UA"/>
              </w:rPr>
            </w:pPr>
            <w:r w:rsidRPr="00120086">
              <w:rPr>
                <w:lang w:val="uk-UA"/>
              </w:rPr>
              <w:t>3. У цьому Порядку терміни вживаються у такому значенні:</w:t>
            </w:r>
          </w:p>
          <w:p w14:paraId="5BA14849" w14:textId="5AC22912" w:rsidR="00B60267" w:rsidRPr="00120086" w:rsidRDefault="00B60267" w:rsidP="00B60267">
            <w:pPr>
              <w:pStyle w:val="rvps2"/>
              <w:shd w:val="clear" w:color="auto" w:fill="FFFFFF"/>
              <w:spacing w:before="0" w:beforeAutospacing="0" w:after="0" w:afterAutospacing="0"/>
              <w:ind w:firstLine="450"/>
              <w:jc w:val="both"/>
              <w:rPr>
                <w:lang w:val="uk-UA"/>
              </w:rPr>
            </w:pPr>
            <w:bookmarkStart w:id="0" w:name="n12"/>
            <w:bookmarkEnd w:id="0"/>
            <w:r w:rsidRPr="00120086">
              <w:rPr>
                <w:lang w:val="uk-UA"/>
              </w:rPr>
              <w:t xml:space="preserve">1) документ про відповідність </w:t>
            </w:r>
            <w:r w:rsidR="007B6A8B" w:rsidRPr="00120086">
              <w:rPr>
                <w:lang w:val="uk-UA"/>
              </w:rPr>
              <w:t>‒</w:t>
            </w:r>
            <w:r w:rsidRPr="00120086">
              <w:rPr>
                <w:lang w:val="uk-UA"/>
              </w:rPr>
              <w:t xml:space="preserve"> сертифікат відповідності, виданий органом з оцінки відповідності у сфері електронних довірчих послуг, що підтверджує відповідність юридичних осіб, фізичних осіб - підприємців, які мають намір надавати електронні довірчі послуги, кваліфікованих надавачів електронних довірчих послуг та послуг, що ними надаються, </w:t>
            </w:r>
            <w:hyperlink r:id="rId6" w:anchor="n13" w:tgtFrame="_blank" w:history="1">
              <w:r w:rsidRPr="00120086">
                <w:rPr>
                  <w:rStyle w:val="af0"/>
                  <w:color w:val="auto"/>
                  <w:lang w:val="uk-UA"/>
                </w:rPr>
                <w:t>вимогам у сфері електронних довірчих послуг</w:t>
              </w:r>
            </w:hyperlink>
            <w:r w:rsidRPr="00120086">
              <w:rPr>
                <w:lang w:val="uk-UA"/>
              </w:rPr>
              <w:t xml:space="preserve">, затвердженим постановою Кабінету Міністрів України від 7 листопада 2018 р. № 992 (далі </w:t>
            </w:r>
            <w:r w:rsidR="007B6A8B" w:rsidRPr="00120086">
              <w:rPr>
                <w:lang w:val="uk-UA"/>
              </w:rPr>
              <w:t>‒</w:t>
            </w:r>
            <w:r w:rsidRPr="00120086">
              <w:rPr>
                <w:lang w:val="uk-UA"/>
              </w:rPr>
              <w:t xml:space="preserve"> вимоги у сфері електронних довірчих послуг);</w:t>
            </w:r>
          </w:p>
          <w:p w14:paraId="555EFC66" w14:textId="7F06102C" w:rsidR="00B60267" w:rsidRPr="00120086" w:rsidRDefault="00B60267" w:rsidP="00B60267">
            <w:pPr>
              <w:pStyle w:val="rvps2"/>
              <w:shd w:val="clear" w:color="auto" w:fill="FFFFFF"/>
              <w:spacing w:before="0" w:beforeAutospacing="0" w:after="0" w:afterAutospacing="0"/>
              <w:ind w:firstLine="450"/>
              <w:jc w:val="both"/>
              <w:rPr>
                <w:lang w:val="uk-UA"/>
              </w:rPr>
            </w:pPr>
            <w:bookmarkStart w:id="1" w:name="n13"/>
            <w:bookmarkEnd w:id="1"/>
            <w:r w:rsidRPr="00120086">
              <w:rPr>
                <w:lang w:val="uk-UA"/>
              </w:rPr>
              <w:lastRenderedPageBreak/>
              <w:t xml:space="preserve">2) інформаційно-телекомунікаційна система </w:t>
            </w:r>
            <w:r w:rsidR="007B6A8B" w:rsidRPr="00120086">
              <w:rPr>
                <w:lang w:val="uk-UA"/>
              </w:rPr>
              <w:t>‒</w:t>
            </w:r>
            <w:r w:rsidRPr="00120086">
              <w:rPr>
                <w:lang w:val="uk-UA"/>
              </w:rPr>
              <w:t xml:space="preserve"> сукупність інформаційних та телекомунікаційних систем надавача, які у процесі обробки інформації діють як єдине ціле та об’єднують програмно-технічний комплекс, що використовується під час надання кваліфікованих електронних довірчих послуг, фізичне середовище, інформацію, що обробляється в цих системах, а також найманих працівників надавача, які безпосередньо задіяні у наданні кваліфікованих електронних довірчих послуг або обслуговують програмно-технічний комплекс;</w:t>
            </w:r>
          </w:p>
          <w:p w14:paraId="3805B3C4" w14:textId="579585DE" w:rsidR="00B60267" w:rsidRPr="00120086" w:rsidRDefault="00B60267" w:rsidP="00B60267">
            <w:pPr>
              <w:pStyle w:val="rvps2"/>
              <w:shd w:val="clear" w:color="auto" w:fill="FFFFFF"/>
              <w:spacing w:before="0" w:beforeAutospacing="0" w:after="0" w:afterAutospacing="0"/>
              <w:ind w:firstLine="450"/>
              <w:jc w:val="both"/>
              <w:rPr>
                <w:lang w:val="uk-UA"/>
              </w:rPr>
            </w:pPr>
            <w:bookmarkStart w:id="2" w:name="n14"/>
            <w:bookmarkEnd w:id="2"/>
            <w:r w:rsidRPr="00120086">
              <w:rPr>
                <w:lang w:val="uk-UA"/>
              </w:rPr>
              <w:t xml:space="preserve">3) об’єкт оцінки відповідності </w:t>
            </w:r>
            <w:r w:rsidR="007B6A8B" w:rsidRPr="00120086">
              <w:rPr>
                <w:lang w:val="uk-UA"/>
              </w:rPr>
              <w:t>‒</w:t>
            </w:r>
            <w:r w:rsidRPr="00120086">
              <w:rPr>
                <w:lang w:val="uk-UA"/>
              </w:rPr>
              <w:t xml:space="preserve"> юридична особа, фізична особа </w:t>
            </w:r>
            <w:r w:rsidR="007B6A8B" w:rsidRPr="00120086">
              <w:rPr>
                <w:lang w:val="uk-UA"/>
              </w:rPr>
              <w:t>‒</w:t>
            </w:r>
            <w:r w:rsidRPr="00120086">
              <w:rPr>
                <w:lang w:val="uk-UA"/>
              </w:rPr>
              <w:t xml:space="preserve"> підприємець, які мають намір надавати кваліфіковані електронні довірчі послуги, кваліфікований надавач електронних довірчих послуг, інформаційно-телекомунікаційна система, засоби кваліфікованого електронного підпису та кваліфіковані електронні довірчі послуги;</w:t>
            </w:r>
          </w:p>
          <w:p w14:paraId="4DCE3075" w14:textId="2E57790F" w:rsidR="00B60267" w:rsidRPr="00120086" w:rsidRDefault="00B60267" w:rsidP="00B60267">
            <w:pPr>
              <w:pStyle w:val="rvps2"/>
              <w:shd w:val="clear" w:color="auto" w:fill="FFFFFF"/>
              <w:spacing w:before="0" w:beforeAutospacing="0" w:after="0" w:afterAutospacing="0"/>
              <w:ind w:firstLine="450"/>
              <w:jc w:val="both"/>
              <w:rPr>
                <w:lang w:val="uk-UA"/>
              </w:rPr>
            </w:pPr>
            <w:bookmarkStart w:id="3" w:name="n15"/>
            <w:bookmarkEnd w:id="3"/>
            <w:r w:rsidRPr="00120086">
              <w:rPr>
                <w:lang w:val="uk-UA"/>
              </w:rPr>
              <w:t xml:space="preserve">4) орган з оцінки відповідності у сфері електронних довірчих послуг (далі </w:t>
            </w:r>
            <w:r w:rsidR="007B6A8B" w:rsidRPr="00120086">
              <w:rPr>
                <w:lang w:val="uk-UA"/>
              </w:rPr>
              <w:t>‒</w:t>
            </w:r>
            <w:r w:rsidRPr="00120086">
              <w:rPr>
                <w:lang w:val="uk-UA"/>
              </w:rPr>
              <w:t xml:space="preserve"> орган з оцінки відповідності) </w:t>
            </w:r>
            <w:r w:rsidR="007B6A8B" w:rsidRPr="00120086">
              <w:rPr>
                <w:lang w:val="uk-UA"/>
              </w:rPr>
              <w:t>‒</w:t>
            </w:r>
            <w:r w:rsidRPr="00120086">
              <w:rPr>
                <w:lang w:val="uk-UA"/>
              </w:rPr>
              <w:t xml:space="preserve"> підприємство, установа, організація чи їх структурний підрозділ, що пройшли акредитацію в національному органі з акредитації та провадять діяльність з оцінки відповідності у сфері електронних довірчих послуг;</w:t>
            </w:r>
          </w:p>
          <w:p w14:paraId="7A25D291" w14:textId="707FA43A" w:rsidR="00B60267" w:rsidRPr="00120086" w:rsidRDefault="00B60267" w:rsidP="00B60267">
            <w:pPr>
              <w:pStyle w:val="rvps2"/>
              <w:shd w:val="clear" w:color="auto" w:fill="FFFFFF"/>
              <w:spacing w:before="0" w:beforeAutospacing="0" w:after="0" w:afterAutospacing="0"/>
              <w:ind w:firstLine="450"/>
              <w:jc w:val="both"/>
              <w:rPr>
                <w:lang w:val="uk-UA"/>
              </w:rPr>
            </w:pPr>
            <w:bookmarkStart w:id="4" w:name="n16"/>
            <w:bookmarkEnd w:id="4"/>
            <w:r w:rsidRPr="00120086">
              <w:rPr>
                <w:lang w:val="uk-UA"/>
              </w:rPr>
              <w:t xml:space="preserve">5) замовник процедури оцінки відповідності </w:t>
            </w:r>
            <w:r w:rsidR="007B6A8B" w:rsidRPr="00120086">
              <w:rPr>
                <w:lang w:val="uk-UA"/>
              </w:rPr>
              <w:t>‒</w:t>
            </w:r>
            <w:r w:rsidRPr="00120086">
              <w:rPr>
                <w:lang w:val="uk-UA"/>
              </w:rPr>
              <w:t xml:space="preserve"> юридична особа, фізична особа </w:t>
            </w:r>
            <w:r w:rsidR="007B6A8B" w:rsidRPr="00120086">
              <w:rPr>
                <w:lang w:val="uk-UA"/>
              </w:rPr>
              <w:t>‒</w:t>
            </w:r>
            <w:r w:rsidRPr="00120086">
              <w:rPr>
                <w:lang w:val="uk-UA"/>
              </w:rPr>
              <w:t xml:space="preserve"> підприємець, які мають намір надавати кваліфіковані електронні довірчі послуги, кваліфікований надавач електронних довірчих послуг.</w:t>
            </w:r>
          </w:p>
          <w:p w14:paraId="180BEB41" w14:textId="77777777" w:rsidR="00B60267" w:rsidRPr="00120086" w:rsidRDefault="00B60267" w:rsidP="00B60267">
            <w:pPr>
              <w:pStyle w:val="rvps2"/>
              <w:shd w:val="clear" w:color="auto" w:fill="FFFFFF"/>
              <w:spacing w:before="0" w:beforeAutospacing="0" w:after="0" w:afterAutospacing="0"/>
              <w:ind w:firstLine="450"/>
              <w:jc w:val="both"/>
              <w:rPr>
                <w:lang w:val="uk-UA"/>
              </w:rPr>
            </w:pPr>
            <w:bookmarkStart w:id="5" w:name="n17"/>
            <w:bookmarkEnd w:id="5"/>
            <w:r w:rsidRPr="00120086">
              <w:rPr>
                <w:lang w:val="uk-UA"/>
              </w:rPr>
              <w:t>Інші терміни вживаються у значенні, наведеному в Законах України </w:t>
            </w:r>
            <w:hyperlink r:id="rId7" w:tgtFrame="_blank" w:history="1">
              <w:r w:rsidRPr="00120086">
                <w:rPr>
                  <w:rStyle w:val="af0"/>
                  <w:color w:val="auto"/>
                  <w:lang w:val="uk-UA"/>
                </w:rPr>
                <w:t>“Про електронні довірчі послуги”</w:t>
              </w:r>
            </w:hyperlink>
            <w:r w:rsidRPr="00120086">
              <w:rPr>
                <w:lang w:val="uk-UA"/>
              </w:rPr>
              <w:t>, </w:t>
            </w:r>
            <w:hyperlink r:id="rId8" w:tgtFrame="_blank" w:history="1">
              <w:r w:rsidRPr="00120086">
                <w:rPr>
                  <w:rStyle w:val="af0"/>
                  <w:color w:val="auto"/>
                  <w:lang w:val="uk-UA"/>
                </w:rPr>
                <w:t>“Про акредитацію органів з оцінки відповідності”</w:t>
              </w:r>
            </w:hyperlink>
            <w:r w:rsidRPr="00120086">
              <w:rPr>
                <w:lang w:val="uk-UA"/>
              </w:rPr>
              <w:t>, </w:t>
            </w:r>
            <w:hyperlink r:id="rId9" w:tgtFrame="_blank" w:history="1">
              <w:r w:rsidRPr="00120086">
                <w:rPr>
                  <w:rStyle w:val="af0"/>
                  <w:color w:val="auto"/>
                  <w:lang w:val="uk-UA"/>
                </w:rPr>
                <w:t>“Про технічні регламенти та оцінку відповідності”</w:t>
              </w:r>
            </w:hyperlink>
            <w:r w:rsidRPr="00120086">
              <w:rPr>
                <w:lang w:val="uk-UA"/>
              </w:rPr>
              <w:t>, </w:t>
            </w:r>
            <w:hyperlink r:id="rId10" w:tgtFrame="_blank" w:history="1">
              <w:r w:rsidRPr="00120086">
                <w:rPr>
                  <w:rStyle w:val="af0"/>
                  <w:color w:val="auto"/>
                  <w:lang w:val="uk-UA"/>
                </w:rPr>
                <w:t>“Про захист інформації в інформаційно-телекомунікаційних системах”</w:t>
              </w:r>
            </w:hyperlink>
            <w:r w:rsidRPr="00120086">
              <w:rPr>
                <w:lang w:val="uk-UA"/>
              </w:rPr>
              <w:t>.</w:t>
            </w:r>
          </w:p>
          <w:p w14:paraId="737930E3" w14:textId="77777777" w:rsidR="00B60267" w:rsidRPr="00120086" w:rsidRDefault="00B60267" w:rsidP="00B60267">
            <w:pPr>
              <w:ind w:firstLine="601"/>
              <w:jc w:val="both"/>
              <w:rPr>
                <w:rFonts w:ascii="Times New Roman" w:hAnsi="Times New Roman" w:cs="Times New Roman"/>
                <w:sz w:val="24"/>
                <w:szCs w:val="24"/>
                <w:lang w:val="uk-UA"/>
              </w:rPr>
            </w:pPr>
          </w:p>
        </w:tc>
        <w:tc>
          <w:tcPr>
            <w:tcW w:w="6897" w:type="dxa"/>
          </w:tcPr>
          <w:p w14:paraId="4F92148A" w14:textId="77777777"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lastRenderedPageBreak/>
              <w:t>3. У цьому Порядку терміни вживаються у такому значенні:</w:t>
            </w:r>
          </w:p>
          <w:p w14:paraId="322AC322" w14:textId="78266AD4"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t xml:space="preserve">1) документ про відповідність </w:t>
            </w:r>
            <w:r w:rsidR="007B6A8B" w:rsidRPr="00120086">
              <w:rPr>
                <w:lang w:val="uk-UA"/>
              </w:rPr>
              <w:t>‒</w:t>
            </w:r>
            <w:r w:rsidRPr="00120086">
              <w:rPr>
                <w:lang w:val="uk-UA"/>
              </w:rPr>
              <w:t xml:space="preserve"> сертифікат відповідності, виданий органом з оцінки відповідності у сфері електронних довірчих послуг, що підтверджує відповідність юридичних осіб, фізичних осіб - підприємців, які мають намір надавати електронні довірчі послуги, кваліфікованих надавачів електронних довірчих послуг та послуг, що ними надаються, </w:t>
            </w:r>
            <w:hyperlink r:id="rId11" w:anchor="n13" w:tgtFrame="_blank" w:history="1">
              <w:r w:rsidRPr="00120086">
                <w:rPr>
                  <w:rStyle w:val="af0"/>
                  <w:color w:val="auto"/>
                  <w:lang w:val="uk-UA"/>
                </w:rPr>
                <w:t>вимогам у сфері електронних довірчих послуг</w:t>
              </w:r>
            </w:hyperlink>
            <w:r w:rsidRPr="00120086">
              <w:rPr>
                <w:lang w:val="uk-UA"/>
              </w:rPr>
              <w:t xml:space="preserve">, затвердженим постановою Кабінету Міністрів України від 7 листопада 2018 р. № 992 (далі </w:t>
            </w:r>
            <w:r w:rsidR="007B6A8B" w:rsidRPr="00120086">
              <w:rPr>
                <w:lang w:val="uk-UA"/>
              </w:rPr>
              <w:t>‒</w:t>
            </w:r>
            <w:r w:rsidRPr="00120086">
              <w:rPr>
                <w:lang w:val="uk-UA"/>
              </w:rPr>
              <w:t xml:space="preserve"> вимоги у сфері електронних довірчих послуг);</w:t>
            </w:r>
          </w:p>
          <w:p w14:paraId="2D8CB064" w14:textId="6B6A8034"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lastRenderedPageBreak/>
              <w:t>2) інформаційно-</w:t>
            </w:r>
            <w:r w:rsidRPr="00120086">
              <w:rPr>
                <w:b/>
                <w:lang w:val="uk-UA"/>
              </w:rPr>
              <w:t>комунікаційна</w:t>
            </w:r>
            <w:r w:rsidRPr="00120086">
              <w:rPr>
                <w:lang w:val="uk-UA"/>
              </w:rPr>
              <w:t xml:space="preserve"> система</w:t>
            </w:r>
            <w:r w:rsidR="005469E5" w:rsidRPr="00120086">
              <w:rPr>
                <w:lang w:val="uk-UA"/>
              </w:rPr>
              <w:t xml:space="preserve"> </w:t>
            </w:r>
            <w:r w:rsidR="007B6A8B" w:rsidRPr="00120086">
              <w:rPr>
                <w:lang w:val="uk-UA"/>
              </w:rPr>
              <w:t>‒</w:t>
            </w:r>
            <w:r w:rsidR="005469E5" w:rsidRPr="00120086">
              <w:rPr>
                <w:lang w:val="uk-UA"/>
              </w:rPr>
              <w:t xml:space="preserve"> сукупність інформаційних та </w:t>
            </w:r>
            <w:r w:rsidRPr="00120086">
              <w:rPr>
                <w:b/>
                <w:lang w:val="uk-UA"/>
              </w:rPr>
              <w:t>комунікаційних</w:t>
            </w:r>
            <w:r w:rsidRPr="00120086">
              <w:rPr>
                <w:lang w:val="uk-UA"/>
              </w:rPr>
              <w:t xml:space="preserve"> систем надавача, які у процесі обробки інформації діють як єдине ціле та об’єднують програмно-технічний комплекс, що використовується під час надання кваліфікованих електронних довірчих послуг, фізичне середовище, інформацію, що обробляється в цих системах, а також найманих працівників надавача, які безпосередньо задіяні у наданні кваліфікованих електронних довірчих послуг або обслуговують програмно-технічний комплекс;</w:t>
            </w:r>
          </w:p>
          <w:p w14:paraId="0957B948" w14:textId="00513427"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t xml:space="preserve">3) об’єкт оцінки відповідності </w:t>
            </w:r>
            <w:r w:rsidR="007B6A8B" w:rsidRPr="00120086">
              <w:rPr>
                <w:lang w:val="uk-UA"/>
              </w:rPr>
              <w:t>‒</w:t>
            </w:r>
            <w:r w:rsidRPr="00120086">
              <w:rPr>
                <w:lang w:val="uk-UA"/>
              </w:rPr>
              <w:t xml:space="preserve"> юридична особа, фізична особа </w:t>
            </w:r>
            <w:r w:rsidR="007B6A8B" w:rsidRPr="00120086">
              <w:rPr>
                <w:lang w:val="uk-UA"/>
              </w:rPr>
              <w:t>‒</w:t>
            </w:r>
            <w:r w:rsidRPr="00120086">
              <w:rPr>
                <w:lang w:val="uk-UA"/>
              </w:rPr>
              <w:t xml:space="preserve"> підприємець, які мають намір надавати кваліфіковані електронні довірчі послуги, кваліфікований надавач електронних довірчих послуг, інформаційно-</w:t>
            </w:r>
            <w:r w:rsidRPr="00120086">
              <w:rPr>
                <w:b/>
                <w:lang w:val="uk-UA"/>
              </w:rPr>
              <w:t>комунікаційна</w:t>
            </w:r>
            <w:r w:rsidRPr="00120086">
              <w:rPr>
                <w:lang w:val="uk-UA"/>
              </w:rPr>
              <w:t xml:space="preserve"> система, засоби кваліфікованого електронного підпису та кваліфіковані електронні довірчі послуги;</w:t>
            </w:r>
          </w:p>
          <w:p w14:paraId="056BC78A" w14:textId="4D62CDD5"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t xml:space="preserve">4) орган з оцінки відповідності у сфері електронних довірчих послуг (далі </w:t>
            </w:r>
            <w:r w:rsidR="007B6A8B" w:rsidRPr="00120086">
              <w:rPr>
                <w:lang w:val="uk-UA"/>
              </w:rPr>
              <w:t>‒</w:t>
            </w:r>
            <w:r w:rsidRPr="00120086">
              <w:rPr>
                <w:lang w:val="uk-UA"/>
              </w:rPr>
              <w:t xml:space="preserve"> орган з оцінки відповідності) </w:t>
            </w:r>
            <w:r w:rsidR="007B6A8B" w:rsidRPr="00120086">
              <w:rPr>
                <w:lang w:val="uk-UA"/>
              </w:rPr>
              <w:t>‒</w:t>
            </w:r>
            <w:r w:rsidRPr="00120086">
              <w:rPr>
                <w:lang w:val="uk-UA"/>
              </w:rPr>
              <w:t xml:space="preserve"> підприємство, установа, організація чи їх структурний підрозділ, що пройшли акредитацію в національному органі з акредитації та провадять діяльність з оцінки відповідності у сфері електронних довірчих послуг;</w:t>
            </w:r>
          </w:p>
          <w:p w14:paraId="12D2BE72" w14:textId="13B54817"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t xml:space="preserve">5) замовник процедури оцінки відповідності </w:t>
            </w:r>
            <w:r w:rsidR="007B6A8B" w:rsidRPr="00120086">
              <w:rPr>
                <w:lang w:val="uk-UA"/>
              </w:rPr>
              <w:t>‒</w:t>
            </w:r>
            <w:r w:rsidRPr="00120086">
              <w:rPr>
                <w:lang w:val="uk-UA"/>
              </w:rPr>
              <w:t xml:space="preserve"> юридична особа, фізична особа </w:t>
            </w:r>
            <w:r w:rsidR="007B6A8B" w:rsidRPr="00120086">
              <w:rPr>
                <w:lang w:val="uk-UA"/>
              </w:rPr>
              <w:t>‒</w:t>
            </w:r>
            <w:r w:rsidRPr="00120086">
              <w:rPr>
                <w:lang w:val="uk-UA"/>
              </w:rPr>
              <w:t xml:space="preserve"> підприємець, які мають намір надавати кваліфіковані електронні довірчі послуги, кваліфікований надавач електронних довірчих послуг.</w:t>
            </w:r>
          </w:p>
          <w:p w14:paraId="39E0CF91" w14:textId="730D28EE" w:rsidR="00B60267" w:rsidRPr="00120086" w:rsidRDefault="00B60267" w:rsidP="007B6A8B">
            <w:pPr>
              <w:pStyle w:val="rvps2"/>
              <w:shd w:val="clear" w:color="auto" w:fill="FFFFFF"/>
              <w:spacing w:before="0" w:beforeAutospacing="0" w:after="0" w:afterAutospacing="0"/>
              <w:ind w:firstLine="450"/>
              <w:jc w:val="both"/>
              <w:rPr>
                <w:lang w:val="uk-UA"/>
              </w:rPr>
            </w:pPr>
            <w:r w:rsidRPr="00120086">
              <w:rPr>
                <w:lang w:val="uk-UA"/>
              </w:rPr>
              <w:t>Інші терміни вживаються у значенні, наведеному в Законах України </w:t>
            </w:r>
            <w:hyperlink r:id="rId12" w:tgtFrame="_blank" w:history="1">
              <w:r w:rsidRPr="00120086">
                <w:rPr>
                  <w:rStyle w:val="af0"/>
                  <w:color w:val="auto"/>
                  <w:lang w:val="uk-UA"/>
                </w:rPr>
                <w:t>“Про електронні довірчі послуги”</w:t>
              </w:r>
            </w:hyperlink>
            <w:r w:rsidRPr="00120086">
              <w:rPr>
                <w:lang w:val="uk-UA"/>
              </w:rPr>
              <w:t>, </w:t>
            </w:r>
            <w:hyperlink r:id="rId13" w:tgtFrame="_blank" w:history="1">
              <w:r w:rsidRPr="00120086">
                <w:rPr>
                  <w:rStyle w:val="af0"/>
                  <w:color w:val="auto"/>
                  <w:lang w:val="uk-UA"/>
                </w:rPr>
                <w:t>“Про акредитацію органів з оцінки відповідності”</w:t>
              </w:r>
            </w:hyperlink>
            <w:r w:rsidRPr="00120086">
              <w:rPr>
                <w:lang w:val="uk-UA"/>
              </w:rPr>
              <w:t>, </w:t>
            </w:r>
            <w:hyperlink r:id="rId14" w:tgtFrame="_blank" w:history="1">
              <w:r w:rsidRPr="00120086">
                <w:rPr>
                  <w:rStyle w:val="af0"/>
                  <w:color w:val="auto"/>
                  <w:lang w:val="uk-UA"/>
                </w:rPr>
                <w:t>“Про технічні регламенти та оцінку відповідності”</w:t>
              </w:r>
            </w:hyperlink>
            <w:r w:rsidRPr="00120086">
              <w:rPr>
                <w:lang w:val="uk-UA"/>
              </w:rPr>
              <w:t>, </w:t>
            </w:r>
            <w:hyperlink r:id="rId15" w:tgtFrame="_blank" w:history="1">
              <w:r w:rsidRPr="00120086">
                <w:rPr>
                  <w:rStyle w:val="af0"/>
                  <w:color w:val="auto"/>
                  <w:lang w:val="uk-UA"/>
                </w:rPr>
                <w:t>“Про захист інформації в інформаційно-</w:t>
              </w:r>
              <w:r w:rsidRPr="00120086">
                <w:rPr>
                  <w:rStyle w:val="af0"/>
                  <w:b/>
                  <w:color w:val="auto"/>
                  <w:lang w:val="uk-UA"/>
                </w:rPr>
                <w:t>комунікаційних</w:t>
              </w:r>
              <w:r w:rsidRPr="00120086">
                <w:rPr>
                  <w:rStyle w:val="af0"/>
                  <w:color w:val="auto"/>
                  <w:lang w:val="uk-UA"/>
                </w:rPr>
                <w:t xml:space="preserve"> системах”</w:t>
              </w:r>
            </w:hyperlink>
            <w:r w:rsidRPr="00120086">
              <w:rPr>
                <w:lang w:val="uk-UA"/>
              </w:rPr>
              <w:t>.</w:t>
            </w:r>
          </w:p>
          <w:p w14:paraId="0B555DE4" w14:textId="77777777" w:rsidR="00B60267" w:rsidRPr="00120086" w:rsidRDefault="00B60267" w:rsidP="007B6A8B">
            <w:pPr>
              <w:ind w:firstLine="450"/>
              <w:jc w:val="both"/>
              <w:rPr>
                <w:rFonts w:ascii="Times New Roman" w:hAnsi="Times New Roman" w:cs="Times New Roman"/>
                <w:sz w:val="24"/>
                <w:szCs w:val="24"/>
                <w:lang w:val="uk-UA"/>
              </w:rPr>
            </w:pPr>
          </w:p>
        </w:tc>
      </w:tr>
      <w:tr w:rsidR="00B60267" w:rsidRPr="008621D2" w14:paraId="3CF8CC81" w14:textId="77777777" w:rsidTr="00255893">
        <w:tc>
          <w:tcPr>
            <w:tcW w:w="7278" w:type="dxa"/>
          </w:tcPr>
          <w:p w14:paraId="354F5E3B" w14:textId="663CB64B"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 xml:space="preserve">4. Процедура оцінки відповідності у сфері електронних довірчих послуг проводиться з метою підтвердження відповідності об’єкта оцінки відповідності вимогам у сфері електронних довірчих </w:t>
            </w:r>
            <w:r w:rsidRPr="001378D7">
              <w:rPr>
                <w:rFonts w:ascii="Times New Roman" w:hAnsi="Times New Roman" w:cs="Times New Roman"/>
                <w:sz w:val="24"/>
                <w:szCs w:val="24"/>
                <w:lang w:val="uk-UA"/>
              </w:rPr>
              <w:lastRenderedPageBreak/>
              <w:t>послуг з урахуванням вимог законодавства у сфері захисту інформації.</w:t>
            </w:r>
          </w:p>
        </w:tc>
        <w:tc>
          <w:tcPr>
            <w:tcW w:w="6897" w:type="dxa"/>
          </w:tcPr>
          <w:p w14:paraId="40DEC358" w14:textId="345079D5" w:rsidR="00B60267" w:rsidRPr="001378D7" w:rsidRDefault="00B60267" w:rsidP="007B6A8B">
            <w:pPr>
              <w:ind w:firstLine="450"/>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 xml:space="preserve">4. Процедура оцінки відповідності у сфері електронних довірчих послуг проводиться з метою підтвердження відповідності об’єкта оцінки відповідності вимогам у сфері </w:t>
            </w:r>
            <w:r w:rsidRPr="001378D7">
              <w:rPr>
                <w:rFonts w:ascii="Times New Roman" w:hAnsi="Times New Roman" w:cs="Times New Roman"/>
                <w:sz w:val="24"/>
                <w:szCs w:val="24"/>
                <w:lang w:val="uk-UA"/>
              </w:rPr>
              <w:lastRenderedPageBreak/>
              <w:t>електронних довірчих послуг з урахуванням вимог законодавства у сфері захисту інформації.</w:t>
            </w:r>
          </w:p>
        </w:tc>
      </w:tr>
      <w:tr w:rsidR="00B60267" w:rsidRPr="001378D7" w14:paraId="501CC6EE" w14:textId="77777777" w:rsidTr="00255893">
        <w:tc>
          <w:tcPr>
            <w:tcW w:w="7278" w:type="dxa"/>
          </w:tcPr>
          <w:p w14:paraId="698589FB" w14:textId="77777777" w:rsidR="00B60267" w:rsidRPr="002761DE" w:rsidRDefault="00B60267" w:rsidP="00B60267">
            <w:pPr>
              <w:pStyle w:val="rvps2"/>
              <w:shd w:val="clear" w:color="auto" w:fill="FFFFFF"/>
              <w:spacing w:before="0" w:beforeAutospacing="0" w:after="0" w:afterAutospacing="0"/>
              <w:ind w:firstLine="450"/>
              <w:jc w:val="both"/>
              <w:rPr>
                <w:lang w:val="uk-UA"/>
              </w:rPr>
            </w:pPr>
            <w:r w:rsidRPr="002761DE">
              <w:rPr>
                <w:lang w:val="uk-UA"/>
              </w:rPr>
              <w:lastRenderedPageBreak/>
              <w:t>5. Процедура оцінки відповідності у сфері електронних довірчих послуг проводиться на добровільних засадах за рахунок замовника процедури оцінки відповідності.</w:t>
            </w:r>
          </w:p>
          <w:p w14:paraId="3BE9797C" w14:textId="3EE070ED" w:rsidR="00B60267" w:rsidRPr="006C7B36" w:rsidRDefault="00B60267" w:rsidP="006C7B36">
            <w:pPr>
              <w:pStyle w:val="rvps2"/>
              <w:shd w:val="clear" w:color="auto" w:fill="FFFFFF"/>
              <w:spacing w:before="0" w:beforeAutospacing="0" w:after="0" w:afterAutospacing="0"/>
              <w:ind w:firstLine="450"/>
              <w:jc w:val="both"/>
              <w:rPr>
                <w:color w:val="333333"/>
                <w:lang w:val="uk-UA"/>
              </w:rPr>
            </w:pPr>
            <w:bookmarkStart w:id="6" w:name="n20"/>
            <w:bookmarkEnd w:id="6"/>
            <w:r w:rsidRPr="002761DE">
              <w:rPr>
                <w:lang w:val="uk-UA"/>
              </w:rPr>
              <w:t>Вартість робіт з проведення процедури оцінки відповідності у сфері електронних довірчих послуг визначається на договірних засадах.</w:t>
            </w:r>
          </w:p>
        </w:tc>
        <w:tc>
          <w:tcPr>
            <w:tcW w:w="6897" w:type="dxa"/>
          </w:tcPr>
          <w:p w14:paraId="54D0C046" w14:textId="77777777" w:rsidR="00B60267" w:rsidRPr="002761DE" w:rsidRDefault="00B60267" w:rsidP="007B6A8B">
            <w:pPr>
              <w:pStyle w:val="rvps2"/>
              <w:shd w:val="clear" w:color="auto" w:fill="FFFFFF"/>
              <w:spacing w:before="0" w:beforeAutospacing="0" w:after="0" w:afterAutospacing="0"/>
              <w:ind w:firstLine="450"/>
              <w:jc w:val="both"/>
              <w:rPr>
                <w:rFonts w:eastAsia="Arial"/>
                <w:lang w:val="uk-UA"/>
              </w:rPr>
            </w:pPr>
            <w:r w:rsidRPr="002761DE">
              <w:rPr>
                <w:lang w:val="uk-UA"/>
              </w:rPr>
              <w:t>5</w:t>
            </w:r>
            <w:r w:rsidRPr="002761DE">
              <w:rPr>
                <w:rFonts w:eastAsia="Arial"/>
                <w:lang w:val="uk-UA"/>
              </w:rPr>
              <w:t>. Процедура оцінки відповідності у сфері електронних довірчих послуг проводиться на добровільних засадах за рахунок замовника процедури оцінки відповідності.</w:t>
            </w:r>
          </w:p>
          <w:p w14:paraId="06E6677C" w14:textId="1C987205" w:rsidR="00B60267" w:rsidRPr="006C7B36" w:rsidRDefault="00B60267" w:rsidP="007B6A8B">
            <w:pPr>
              <w:pStyle w:val="rvps2"/>
              <w:shd w:val="clear" w:color="auto" w:fill="FFFFFF"/>
              <w:spacing w:before="0" w:beforeAutospacing="0" w:after="0" w:afterAutospacing="0"/>
              <w:ind w:firstLine="450"/>
              <w:jc w:val="both"/>
              <w:rPr>
                <w:color w:val="333333"/>
                <w:lang w:val="uk-UA"/>
              </w:rPr>
            </w:pPr>
            <w:r w:rsidRPr="002761DE">
              <w:rPr>
                <w:rFonts w:eastAsia="Arial"/>
                <w:lang w:val="uk-UA"/>
              </w:rPr>
              <w:t>Вартість робіт з проведення процедури оцінки відповідності у сфері електронних довірчих послуг визначається на договірних засадах.</w:t>
            </w:r>
          </w:p>
        </w:tc>
      </w:tr>
      <w:tr w:rsidR="00B60267" w:rsidRPr="001378D7" w14:paraId="40AA3A10" w14:textId="77777777" w:rsidTr="00255893">
        <w:tc>
          <w:tcPr>
            <w:tcW w:w="7278" w:type="dxa"/>
          </w:tcPr>
          <w:p w14:paraId="42404C0A" w14:textId="5A02ABE9"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6. Для проходження процедури оцінки відповідності у сфері електронних довірчих послуг замовник процедури оцінки відповідності самостійно обирає орган з оцінки відповідності та укладає з ним відповідний договір.</w:t>
            </w:r>
          </w:p>
        </w:tc>
        <w:tc>
          <w:tcPr>
            <w:tcW w:w="6897" w:type="dxa"/>
          </w:tcPr>
          <w:p w14:paraId="02CBAE46" w14:textId="1F7C32E9"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6. Для проходження процедури оцінки відповідності у сфері електронних довірчих послуг замовник процедури оцінки відповідності самостійно обирає орган з оцінки відповідності та укладає з ним відповідний договір.</w:t>
            </w:r>
          </w:p>
          <w:p w14:paraId="6BEE0F3D" w14:textId="289338C7" w:rsidR="00A302F5" w:rsidRPr="00024180" w:rsidRDefault="00B36D99" w:rsidP="00A302F5">
            <w:pPr>
              <w:ind w:firstLine="601"/>
              <w:jc w:val="both"/>
              <w:rPr>
                <w:rFonts w:ascii="Times New Roman" w:hAnsi="Times New Roman" w:cs="Times New Roman"/>
                <w:b/>
                <w:sz w:val="24"/>
                <w:szCs w:val="24"/>
                <w:lang w:val="uk-UA"/>
              </w:rPr>
            </w:pPr>
            <w:r w:rsidRPr="00024180">
              <w:rPr>
                <w:rFonts w:ascii="Times New Roman" w:hAnsi="Times New Roman" w:cs="Times New Roman"/>
                <w:sz w:val="24"/>
                <w:szCs w:val="24"/>
                <w:lang w:val="uk-UA"/>
              </w:rPr>
              <w:t>Замовник процедури оцінки відповідності</w:t>
            </w:r>
            <w:r w:rsidRPr="00024180" w:rsidDel="00B36D99">
              <w:rPr>
                <w:rFonts w:ascii="Times New Roman" w:hAnsi="Times New Roman" w:cs="Times New Roman"/>
                <w:b/>
                <w:sz w:val="24"/>
                <w:szCs w:val="24"/>
                <w:lang w:val="uk-UA"/>
              </w:rPr>
              <w:t xml:space="preserve"> </w:t>
            </w:r>
            <w:r w:rsidRPr="00024180">
              <w:rPr>
                <w:rFonts w:ascii="Times New Roman" w:hAnsi="Times New Roman" w:cs="Times New Roman"/>
                <w:b/>
                <w:sz w:val="24"/>
                <w:szCs w:val="24"/>
                <w:lang w:val="uk-UA"/>
              </w:rPr>
              <w:t xml:space="preserve">може </w:t>
            </w:r>
            <w:r w:rsidR="00A302F5" w:rsidRPr="00024180">
              <w:rPr>
                <w:rFonts w:ascii="Times New Roman" w:hAnsi="Times New Roman" w:cs="Times New Roman"/>
                <w:b/>
                <w:sz w:val="24"/>
                <w:szCs w:val="24"/>
                <w:lang w:val="uk-UA"/>
              </w:rPr>
              <w:t>пройти процедуру оцінки відповідності та отримати аудиторський звіт в іноземному органі з оцінки відповідності, акредитованому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w:t>
            </w:r>
          </w:p>
          <w:p w14:paraId="37B1F253" w14:textId="1D3A020F" w:rsidR="00B60267" w:rsidRPr="006C7B36" w:rsidRDefault="00A302F5" w:rsidP="006C7B36">
            <w:pPr>
              <w:ind w:firstLine="601"/>
              <w:jc w:val="both"/>
              <w:rPr>
                <w:rFonts w:ascii="Times New Roman" w:hAnsi="Times New Roman" w:cs="Times New Roman"/>
                <w:b/>
                <w:sz w:val="24"/>
                <w:szCs w:val="24"/>
                <w:lang w:val="uk-UA"/>
              </w:rPr>
            </w:pPr>
            <w:r w:rsidRPr="00024180">
              <w:rPr>
                <w:rFonts w:ascii="Times New Roman" w:hAnsi="Times New Roman" w:cs="Times New Roman"/>
                <w:b/>
                <w:sz w:val="24"/>
                <w:szCs w:val="24"/>
                <w:lang w:val="uk-UA"/>
              </w:rPr>
              <w:t>Аудиторський звіт іноземного органу з оцінки відповідності, викладений іноземною мовою, повинен бути перекладений на державну мову із засвідченням вірності перекладу з однієї мови на іншу або підпису перекладача в установленому законодавством порядку.</w:t>
            </w:r>
          </w:p>
        </w:tc>
      </w:tr>
      <w:tr w:rsidR="00B60267" w:rsidRPr="008621D2" w14:paraId="1BC8DD68" w14:textId="77777777" w:rsidTr="00255893">
        <w:tc>
          <w:tcPr>
            <w:tcW w:w="7278" w:type="dxa"/>
          </w:tcPr>
          <w:p w14:paraId="36EAE25F" w14:textId="18ABCB0C"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7. Органи з оцінки відповідності та замовники процедури оцінки відповідності під час проведення процедури оцінки відповідності у сфері електронних довірчих послуг повинні дотримуватися положень, визначених у стандарті ДСТУ ETSI EN 319 403:2016 “Електронні підписи та інфраструктури (ESI). Оцінювання відповідності провайдерів довірчих послуг. Вимоги до органів з оцінювання відповідності, що оцінюють провайдерів довірчих послуг” (ETSI EN 319 403:2015, IDT).</w:t>
            </w:r>
          </w:p>
        </w:tc>
        <w:tc>
          <w:tcPr>
            <w:tcW w:w="6897" w:type="dxa"/>
          </w:tcPr>
          <w:p w14:paraId="6BFB1E5E" w14:textId="595917B0" w:rsidR="00B60267" w:rsidRPr="002E62A4" w:rsidRDefault="00B60267" w:rsidP="00223620">
            <w:pPr>
              <w:ind w:firstLine="601"/>
              <w:jc w:val="both"/>
              <w:rPr>
                <w:rFonts w:ascii="Times New Roman" w:hAnsi="Times New Roman" w:cs="Times New Roman"/>
                <w:sz w:val="24"/>
                <w:szCs w:val="24"/>
                <w:lang w:val="uk-UA"/>
              </w:rPr>
            </w:pPr>
            <w:r w:rsidRPr="002E62A4">
              <w:rPr>
                <w:rFonts w:ascii="Times New Roman" w:hAnsi="Times New Roman" w:cs="Times New Roman"/>
                <w:bCs/>
                <w:sz w:val="24"/>
                <w:szCs w:val="24"/>
                <w:lang w:val="uk-UA"/>
              </w:rPr>
              <w:t>7</w:t>
            </w:r>
            <w:r w:rsidRPr="002E62A4">
              <w:rPr>
                <w:rFonts w:ascii="Times New Roman" w:hAnsi="Times New Roman" w:cs="Times New Roman"/>
                <w:sz w:val="24"/>
                <w:szCs w:val="24"/>
                <w:lang w:val="uk-UA"/>
              </w:rPr>
              <w:t>. Органи з оцінки відповідності та замовники процедури оцінки відповідності під час проведення процедури оцінки відповідності у сфері електронних довірчих послуг повинні дотримуватися положень, визначен</w:t>
            </w:r>
            <w:r w:rsidR="00A70DAD" w:rsidRPr="002E62A4">
              <w:rPr>
                <w:rFonts w:ascii="Times New Roman" w:hAnsi="Times New Roman" w:cs="Times New Roman"/>
                <w:sz w:val="24"/>
                <w:szCs w:val="24"/>
                <w:lang w:val="uk-UA"/>
              </w:rPr>
              <w:t xml:space="preserve">их у </w:t>
            </w:r>
            <w:r w:rsidR="00223620" w:rsidRPr="00223620">
              <w:rPr>
                <w:rFonts w:ascii="Times New Roman" w:hAnsi="Times New Roman" w:cs="Times New Roman"/>
                <w:b/>
                <w:sz w:val="24"/>
                <w:szCs w:val="24"/>
                <w:lang w:val="uk-UA"/>
              </w:rPr>
              <w:t xml:space="preserve">стандартах ДСТУ ETSI EN 319 403-1:2021 (ETSI EN 319 403-1 V2.3.1 (2020-06), IDT) “Електронні підписи та інфраструктури (ESI). Оцінювання відповідності постачальників довірчих послуг. Частина 1. Вимоги до органів оцінювання відповідності, які оцінюють постачальників довірчих послуг” та ДСТУ ETSI TS 119 403-2:2021 (ETSI TS 119 403-2 V1.2.4 (2020-11), IDT) “Електронні </w:t>
            </w:r>
            <w:r w:rsidR="00223620" w:rsidRPr="00223620">
              <w:rPr>
                <w:rFonts w:ascii="Times New Roman" w:hAnsi="Times New Roman" w:cs="Times New Roman"/>
                <w:b/>
                <w:sz w:val="24"/>
                <w:szCs w:val="24"/>
                <w:lang w:val="uk-UA"/>
              </w:rPr>
              <w:lastRenderedPageBreak/>
              <w:t>підписи та інфраструктури (ESI). Оцінювання відповідності постачальників довірчих послуг. Частина 2. Додаткові вимоги до</w:t>
            </w:r>
            <w:r w:rsidR="00223620" w:rsidRPr="00223620">
              <w:rPr>
                <w:rFonts w:ascii="Times New Roman" w:hAnsi="Times New Roman" w:cs="Times New Roman"/>
                <w:sz w:val="24"/>
                <w:szCs w:val="24"/>
                <w:lang w:val="uk-UA"/>
              </w:rPr>
              <w:t xml:space="preserve"> </w:t>
            </w:r>
            <w:r w:rsidR="00223620" w:rsidRPr="00223620">
              <w:rPr>
                <w:rFonts w:ascii="Times New Roman" w:hAnsi="Times New Roman" w:cs="Times New Roman"/>
                <w:b/>
                <w:sz w:val="24"/>
                <w:szCs w:val="24"/>
                <w:lang w:val="uk-UA"/>
              </w:rPr>
              <w:t>органів оцінювання відповідності, що перевіряють постачальників довірчих послуг, які видають довірчі сертифікати”, затверджених наказом ДП “</w:t>
            </w:r>
            <w:proofErr w:type="spellStart"/>
            <w:r w:rsidR="00223620" w:rsidRPr="00223620">
              <w:rPr>
                <w:rFonts w:ascii="Times New Roman" w:hAnsi="Times New Roman" w:cs="Times New Roman"/>
                <w:b/>
                <w:sz w:val="24"/>
                <w:szCs w:val="24"/>
                <w:lang w:val="uk-UA"/>
              </w:rPr>
              <w:t>УкрНДЦ</w:t>
            </w:r>
            <w:proofErr w:type="spellEnd"/>
            <w:r w:rsidR="00223620" w:rsidRPr="00223620">
              <w:rPr>
                <w:rFonts w:ascii="Times New Roman" w:hAnsi="Times New Roman" w:cs="Times New Roman"/>
                <w:b/>
                <w:sz w:val="24"/>
                <w:szCs w:val="24"/>
                <w:lang w:val="uk-UA"/>
              </w:rPr>
              <w:t>” від 16 грудня 2021 р. № 512</w:t>
            </w:r>
            <w:r w:rsidR="00793505">
              <w:rPr>
                <w:rFonts w:ascii="Times New Roman" w:hAnsi="Times New Roman" w:cs="Times New Roman"/>
                <w:b/>
                <w:sz w:val="24"/>
                <w:szCs w:val="24"/>
                <w:lang w:val="uk-UA"/>
              </w:rPr>
              <w:t xml:space="preserve"> (далі – </w:t>
            </w:r>
            <w:r w:rsidR="00793505" w:rsidRPr="00793505">
              <w:rPr>
                <w:rFonts w:ascii="Times New Roman" w:hAnsi="Times New Roman" w:cs="Times New Roman"/>
                <w:b/>
                <w:sz w:val="24"/>
                <w:szCs w:val="24"/>
                <w:lang w:val="uk-UA"/>
              </w:rPr>
              <w:t>ДСТУ ETSI EN 319 403-1:2021 та ДСТУ ETSI TS 119 403-2:2021</w:t>
            </w:r>
            <w:r w:rsidR="00793505">
              <w:rPr>
                <w:rFonts w:ascii="Times New Roman" w:hAnsi="Times New Roman" w:cs="Times New Roman"/>
                <w:b/>
                <w:sz w:val="24"/>
                <w:szCs w:val="24"/>
                <w:lang w:val="uk-UA"/>
              </w:rPr>
              <w:t>)</w:t>
            </w:r>
            <w:r w:rsidR="00223620" w:rsidRPr="00223620">
              <w:rPr>
                <w:rFonts w:ascii="Times New Roman" w:hAnsi="Times New Roman" w:cs="Times New Roman"/>
                <w:b/>
                <w:sz w:val="24"/>
                <w:szCs w:val="24"/>
                <w:lang w:val="uk-UA"/>
              </w:rPr>
              <w:t>.</w:t>
            </w:r>
          </w:p>
        </w:tc>
      </w:tr>
      <w:tr w:rsidR="00B60267" w:rsidRPr="008621D2" w14:paraId="3DBD1F1B" w14:textId="77777777" w:rsidTr="00255893">
        <w:tc>
          <w:tcPr>
            <w:tcW w:w="7278" w:type="dxa"/>
          </w:tcPr>
          <w:p w14:paraId="278F2B9F" w14:textId="6A47B6EE"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8. Рішення за результатами проведення процедури оцінки відповідності у сфері електронних довірчих послуг приймається органом з оцінки відповідності на основі аналізу аудиторського звіту, оформленого цим органом за результатами виконання усіх етапів процесу аудиту, визначених у стандарті ДСТУ ETSI EN 319 403:2016 “Електронні підписи та інфраструктури (ESI). Оцінювання відповідності провайдерів довірчих послуг. Вимоги до органів з оцінювання відповідності, що оцінюють провайдерів довірчих послуг” (ETSI EN 319 403:2015, IDT).</w:t>
            </w:r>
          </w:p>
        </w:tc>
        <w:tc>
          <w:tcPr>
            <w:tcW w:w="6897" w:type="dxa"/>
          </w:tcPr>
          <w:p w14:paraId="3A893B85" w14:textId="0FCB344E" w:rsidR="00B60267" w:rsidRPr="002E62A4" w:rsidRDefault="00B60267" w:rsidP="00B60267">
            <w:pPr>
              <w:ind w:firstLine="601"/>
              <w:jc w:val="both"/>
              <w:rPr>
                <w:rFonts w:ascii="Times New Roman" w:hAnsi="Times New Roman" w:cs="Times New Roman"/>
                <w:b/>
                <w:bCs/>
                <w:sz w:val="24"/>
                <w:szCs w:val="24"/>
                <w:lang w:val="uk-UA"/>
              </w:rPr>
            </w:pPr>
            <w:r w:rsidRPr="002E62A4">
              <w:rPr>
                <w:rFonts w:ascii="Times New Roman" w:hAnsi="Times New Roman" w:cs="Times New Roman"/>
                <w:sz w:val="24"/>
                <w:szCs w:val="24"/>
                <w:lang w:val="uk-UA"/>
              </w:rPr>
              <w:t xml:space="preserve">8. Рішення за результатами проведення процедури оцінки відповідності у сфері електронних довірчих послуг приймається органом з оцінки відповідності на основі аналізу аудиторського звіту, оформленого цим органом за результатами виконання усіх етапів процесу аудиту, визначених у </w:t>
            </w:r>
            <w:r w:rsidR="00223620" w:rsidRPr="00223620">
              <w:rPr>
                <w:rFonts w:ascii="Times New Roman" w:hAnsi="Times New Roman" w:cs="Times New Roman"/>
                <w:b/>
                <w:sz w:val="24"/>
                <w:szCs w:val="24"/>
                <w:lang w:val="uk-UA"/>
              </w:rPr>
              <w:t>стандартах ДСТУ ETSI EN 319 403-1:2021 та ДСТУ ETSI TS 119 403-2:2021.</w:t>
            </w:r>
          </w:p>
        </w:tc>
      </w:tr>
      <w:tr w:rsidR="00CB2D5B" w:rsidRPr="001378D7" w14:paraId="3240FD3D" w14:textId="77777777" w:rsidTr="00255893">
        <w:tc>
          <w:tcPr>
            <w:tcW w:w="7278" w:type="dxa"/>
          </w:tcPr>
          <w:p w14:paraId="1C660344" w14:textId="37079770" w:rsidR="00CB2D5B" w:rsidRPr="001378D7" w:rsidRDefault="00CB2D5B" w:rsidP="00CB2D5B">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9. Строк прийняття органом з оцінки відповідності за результатами проведення процедури оцінки відповідності у сфері електронних довірчих послуг рішення про видачу документа про відповідність або відмову у його видачі не може бути більшим ніж шість місяців з дня укладення договору, визначеного в пункті 6 цього Порядку.</w:t>
            </w:r>
          </w:p>
        </w:tc>
        <w:tc>
          <w:tcPr>
            <w:tcW w:w="6897" w:type="dxa"/>
          </w:tcPr>
          <w:p w14:paraId="1097FFE7" w14:textId="0946D7F8" w:rsidR="00CB2D5B" w:rsidRPr="001378D7" w:rsidRDefault="00CB2D5B" w:rsidP="00CB2D5B">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 xml:space="preserve">9. Прийняття органом з оцінки відповідності рішення про видачу документа про відповідність здійснюється в </w:t>
            </w:r>
            <w:r w:rsidR="00951A80">
              <w:rPr>
                <w:rFonts w:ascii="Times New Roman" w:hAnsi="Times New Roman" w:cs="Times New Roman"/>
                <w:b/>
                <w:bCs/>
                <w:sz w:val="24"/>
                <w:szCs w:val="24"/>
                <w:lang w:val="uk-UA"/>
              </w:rPr>
              <w:t>строк</w:t>
            </w:r>
            <w:r w:rsidRPr="001378D7">
              <w:rPr>
                <w:rFonts w:ascii="Times New Roman" w:hAnsi="Times New Roman" w:cs="Times New Roman"/>
                <w:b/>
                <w:bCs/>
                <w:sz w:val="24"/>
                <w:szCs w:val="24"/>
                <w:lang w:val="uk-UA"/>
              </w:rPr>
              <w:t>, визначений у договорі, зазначеному в пункті 6 цього Порядку.</w:t>
            </w:r>
          </w:p>
        </w:tc>
      </w:tr>
      <w:tr w:rsidR="00B60267" w:rsidRPr="008621D2" w14:paraId="13B06A04" w14:textId="77777777" w:rsidTr="00255893">
        <w:tc>
          <w:tcPr>
            <w:tcW w:w="7278" w:type="dxa"/>
          </w:tcPr>
          <w:p w14:paraId="389BD994" w14:textId="58883FC9"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eastAsia="Times New Roman" w:hAnsi="Times New Roman" w:cs="Times New Roman"/>
                <w:bCs/>
                <w:sz w:val="24"/>
                <w:szCs w:val="24"/>
                <w:lang w:val="uk-UA"/>
              </w:rPr>
              <w:t>Відсутній</w:t>
            </w:r>
          </w:p>
        </w:tc>
        <w:tc>
          <w:tcPr>
            <w:tcW w:w="6897" w:type="dxa"/>
          </w:tcPr>
          <w:p w14:paraId="30F49D7A" w14:textId="77777777" w:rsidR="00A302F5" w:rsidRPr="001378D7" w:rsidRDefault="00CB2D5B"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9</w:t>
            </w:r>
            <w:r w:rsidRPr="001378D7">
              <w:rPr>
                <w:rFonts w:ascii="Times New Roman" w:hAnsi="Times New Roman" w:cs="Times New Roman"/>
                <w:b/>
                <w:bCs/>
                <w:sz w:val="24"/>
                <w:szCs w:val="24"/>
                <w:vertAlign w:val="superscript"/>
                <w:lang w:val="uk-UA"/>
              </w:rPr>
              <w:t>1</w:t>
            </w:r>
            <w:r w:rsidR="00B60267" w:rsidRPr="001378D7">
              <w:rPr>
                <w:rFonts w:ascii="Times New Roman" w:hAnsi="Times New Roman" w:cs="Times New Roman"/>
                <w:b/>
                <w:bCs/>
                <w:sz w:val="24"/>
                <w:szCs w:val="24"/>
                <w:lang w:val="uk-UA"/>
              </w:rPr>
              <w:t>. Оцінка відпов</w:t>
            </w:r>
            <w:r w:rsidR="00A302F5" w:rsidRPr="001378D7">
              <w:rPr>
                <w:rFonts w:ascii="Times New Roman" w:hAnsi="Times New Roman" w:cs="Times New Roman"/>
                <w:b/>
                <w:bCs/>
                <w:sz w:val="24"/>
                <w:szCs w:val="24"/>
                <w:lang w:val="uk-UA"/>
              </w:rPr>
              <w:t>ідності проводиться у два етапи:</w:t>
            </w:r>
            <w:r w:rsidR="00B60267" w:rsidRPr="001378D7">
              <w:rPr>
                <w:rFonts w:ascii="Times New Roman" w:hAnsi="Times New Roman" w:cs="Times New Roman"/>
                <w:b/>
                <w:bCs/>
                <w:sz w:val="24"/>
                <w:szCs w:val="24"/>
                <w:lang w:val="uk-UA"/>
              </w:rPr>
              <w:t xml:space="preserve"> </w:t>
            </w:r>
          </w:p>
          <w:p w14:paraId="0D7F84A4" w14:textId="1355B4EC" w:rsidR="00A302F5" w:rsidRPr="00024180" w:rsidRDefault="00A302F5" w:rsidP="00B60267">
            <w:pPr>
              <w:ind w:firstLine="601"/>
              <w:jc w:val="both"/>
              <w:rPr>
                <w:rFonts w:ascii="Times New Roman" w:hAnsi="Times New Roman" w:cs="Times New Roman"/>
                <w:b/>
                <w:bCs/>
                <w:sz w:val="24"/>
                <w:szCs w:val="24"/>
                <w:lang w:val="uk-UA"/>
              </w:rPr>
            </w:pPr>
            <w:r w:rsidRPr="00024180">
              <w:rPr>
                <w:rFonts w:ascii="Times New Roman" w:hAnsi="Times New Roman" w:cs="Times New Roman"/>
                <w:b/>
                <w:bCs/>
                <w:sz w:val="24"/>
                <w:szCs w:val="24"/>
                <w:lang w:val="uk-UA"/>
              </w:rPr>
              <w:t>п</w:t>
            </w:r>
            <w:r w:rsidR="00B60267" w:rsidRPr="00024180">
              <w:rPr>
                <w:rFonts w:ascii="Times New Roman" w:hAnsi="Times New Roman" w:cs="Times New Roman"/>
                <w:b/>
                <w:bCs/>
                <w:sz w:val="24"/>
                <w:szCs w:val="24"/>
                <w:lang w:val="uk-UA"/>
              </w:rPr>
              <w:t xml:space="preserve">ерший етап </w:t>
            </w:r>
            <w:r w:rsidR="006C7B36">
              <w:rPr>
                <w:rFonts w:ascii="Times New Roman" w:hAnsi="Times New Roman" w:cs="Times New Roman"/>
                <w:b/>
                <w:bCs/>
                <w:sz w:val="24"/>
                <w:szCs w:val="24"/>
                <w:lang w:val="uk-UA"/>
              </w:rPr>
              <w:t>‒</w:t>
            </w:r>
            <w:r w:rsidRPr="00024180">
              <w:rPr>
                <w:rFonts w:ascii="Times New Roman" w:hAnsi="Times New Roman" w:cs="Times New Roman"/>
                <w:b/>
                <w:bCs/>
                <w:sz w:val="24"/>
                <w:szCs w:val="24"/>
                <w:lang w:val="uk-UA"/>
              </w:rPr>
              <w:t xml:space="preserve"> </w:t>
            </w:r>
            <w:r w:rsidR="00B60267" w:rsidRPr="00024180">
              <w:rPr>
                <w:rFonts w:ascii="Times New Roman" w:hAnsi="Times New Roman" w:cs="Times New Roman"/>
                <w:b/>
                <w:bCs/>
                <w:sz w:val="24"/>
                <w:szCs w:val="24"/>
                <w:lang w:val="uk-UA"/>
              </w:rPr>
              <w:t>передбачає проведення оцінки документації, в тому числі планування другого етапу шляхом визначення структури та об’єму кваліфікованих електронних довірчих послуг, що надават</w:t>
            </w:r>
            <w:r w:rsidRPr="00024180">
              <w:rPr>
                <w:rFonts w:ascii="Times New Roman" w:hAnsi="Times New Roman" w:cs="Times New Roman"/>
                <w:b/>
                <w:bCs/>
                <w:sz w:val="24"/>
                <w:szCs w:val="24"/>
                <w:lang w:val="uk-UA"/>
              </w:rPr>
              <w:t>име об’єкт оцінки відповідності;</w:t>
            </w:r>
            <w:r w:rsidR="00B60267" w:rsidRPr="00024180">
              <w:rPr>
                <w:rFonts w:ascii="Times New Roman" w:hAnsi="Times New Roman" w:cs="Times New Roman"/>
                <w:b/>
                <w:bCs/>
                <w:sz w:val="24"/>
                <w:szCs w:val="24"/>
                <w:lang w:val="uk-UA"/>
              </w:rPr>
              <w:t xml:space="preserve"> </w:t>
            </w:r>
          </w:p>
          <w:p w14:paraId="349AEA67" w14:textId="6FCD0736" w:rsidR="00B60267" w:rsidRPr="001378D7" w:rsidRDefault="00A302F5" w:rsidP="00B60267">
            <w:pPr>
              <w:ind w:firstLine="601"/>
              <w:jc w:val="both"/>
              <w:rPr>
                <w:rFonts w:ascii="Times New Roman" w:hAnsi="Times New Roman" w:cs="Times New Roman"/>
                <w:b/>
                <w:bCs/>
                <w:sz w:val="24"/>
                <w:szCs w:val="24"/>
                <w:lang w:val="uk-UA"/>
              </w:rPr>
            </w:pPr>
            <w:r w:rsidRPr="00024180">
              <w:rPr>
                <w:rFonts w:ascii="Times New Roman" w:hAnsi="Times New Roman" w:cs="Times New Roman"/>
                <w:b/>
                <w:bCs/>
                <w:sz w:val="24"/>
                <w:szCs w:val="24"/>
                <w:lang w:val="uk-UA"/>
              </w:rPr>
              <w:t>д</w:t>
            </w:r>
            <w:r w:rsidR="00B60267" w:rsidRPr="00024180">
              <w:rPr>
                <w:rFonts w:ascii="Times New Roman" w:hAnsi="Times New Roman" w:cs="Times New Roman"/>
                <w:b/>
                <w:bCs/>
                <w:sz w:val="24"/>
                <w:szCs w:val="24"/>
                <w:lang w:val="uk-UA"/>
              </w:rPr>
              <w:t>ругий етап</w:t>
            </w:r>
            <w:r w:rsidRPr="00024180">
              <w:rPr>
                <w:rFonts w:ascii="Times New Roman" w:hAnsi="Times New Roman" w:cs="Times New Roman"/>
                <w:b/>
                <w:bCs/>
                <w:sz w:val="24"/>
                <w:szCs w:val="24"/>
                <w:lang w:val="uk-UA"/>
              </w:rPr>
              <w:t xml:space="preserve"> </w:t>
            </w:r>
            <w:r w:rsidR="007B6A8B">
              <w:rPr>
                <w:rFonts w:ascii="Times New Roman" w:hAnsi="Times New Roman" w:cs="Times New Roman"/>
                <w:b/>
                <w:bCs/>
                <w:sz w:val="24"/>
                <w:szCs w:val="24"/>
                <w:lang w:val="uk-UA"/>
              </w:rPr>
              <w:t>‒</w:t>
            </w:r>
            <w:r w:rsidR="00B60267" w:rsidRPr="00024180">
              <w:rPr>
                <w:rFonts w:ascii="Times New Roman" w:hAnsi="Times New Roman" w:cs="Times New Roman"/>
                <w:b/>
                <w:bCs/>
                <w:sz w:val="24"/>
                <w:szCs w:val="24"/>
                <w:lang w:val="uk-UA"/>
              </w:rPr>
              <w:t xml:space="preserve"> передбачає виїзний плановий або позаплановий захід, що здійснюється за місцезнаходженням об’єкта оцінки відповідності та передбачає підтвердження результатів попереднього аудиторського звіту та завершення аудиту перевірених послуг.</w:t>
            </w:r>
          </w:p>
          <w:p w14:paraId="361F4F4E" w14:textId="77777777" w:rsidR="00B60267" w:rsidRPr="001378D7" w:rsidRDefault="00B60267"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lastRenderedPageBreak/>
              <w:t>За результатами кожного з етапів складається відповідний звіт. Під час встановлення інтервалу між першим та другим етапами оцінки відповідності необхідно враховувати потреби замовника процедури оцінки відповідності для вирішення проблемних областей, виявлених під час проведення першого етапу.</w:t>
            </w:r>
          </w:p>
          <w:p w14:paraId="4DF6E4B2" w14:textId="5A0A8F6F"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b/>
                <w:bCs/>
                <w:sz w:val="24"/>
                <w:szCs w:val="24"/>
                <w:lang w:val="uk-UA"/>
              </w:rPr>
              <w:t>Орган з оцінки відповідності повинен інформувати замовника процедури оцінки відповідності про всі висновки</w:t>
            </w:r>
            <w:r w:rsidR="00F423BD">
              <w:rPr>
                <w:rFonts w:ascii="Times New Roman" w:hAnsi="Times New Roman" w:cs="Times New Roman"/>
                <w:b/>
                <w:bCs/>
                <w:sz w:val="24"/>
                <w:szCs w:val="24"/>
                <w:lang w:val="uk-UA"/>
              </w:rPr>
              <w:t>,</w:t>
            </w:r>
            <w:r w:rsidRPr="001378D7">
              <w:rPr>
                <w:rFonts w:ascii="Times New Roman" w:hAnsi="Times New Roman" w:cs="Times New Roman"/>
                <w:b/>
                <w:bCs/>
                <w:sz w:val="24"/>
                <w:szCs w:val="24"/>
                <w:lang w:val="uk-UA"/>
              </w:rPr>
              <w:t xml:space="preserve"> описані в аудиторському звіті</w:t>
            </w:r>
            <w:r w:rsidR="00F423BD">
              <w:rPr>
                <w:rFonts w:ascii="Times New Roman" w:hAnsi="Times New Roman" w:cs="Times New Roman"/>
                <w:b/>
                <w:bCs/>
                <w:sz w:val="24"/>
                <w:szCs w:val="24"/>
                <w:lang w:val="uk-UA"/>
              </w:rPr>
              <w:t>,</w:t>
            </w:r>
            <w:r w:rsidRPr="001378D7">
              <w:rPr>
                <w:rFonts w:ascii="Times New Roman" w:hAnsi="Times New Roman" w:cs="Times New Roman"/>
                <w:b/>
                <w:bCs/>
                <w:sz w:val="24"/>
                <w:szCs w:val="24"/>
                <w:lang w:val="uk-UA"/>
              </w:rPr>
              <w:t xml:space="preserve"> із зазначенням їх суттєвого впливу на безпеку та/або здатність надавати кваліфіковані електронні довірчі послуги.</w:t>
            </w:r>
          </w:p>
        </w:tc>
      </w:tr>
      <w:tr w:rsidR="00B60267" w:rsidRPr="008621D2" w14:paraId="1569CE17" w14:textId="77777777" w:rsidTr="00255893">
        <w:tc>
          <w:tcPr>
            <w:tcW w:w="7278" w:type="dxa"/>
          </w:tcPr>
          <w:p w14:paraId="3FFAA005" w14:textId="6BDBA3C6"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eastAsia="Times New Roman" w:hAnsi="Times New Roman" w:cs="Times New Roman"/>
                <w:bCs/>
                <w:sz w:val="24"/>
                <w:szCs w:val="24"/>
                <w:lang w:val="uk-UA"/>
              </w:rPr>
              <w:lastRenderedPageBreak/>
              <w:t>Відсутній</w:t>
            </w:r>
          </w:p>
        </w:tc>
        <w:tc>
          <w:tcPr>
            <w:tcW w:w="6897" w:type="dxa"/>
          </w:tcPr>
          <w:p w14:paraId="360C2BB2" w14:textId="48A80394" w:rsidR="00B60267" w:rsidRPr="001378D7" w:rsidRDefault="00CB2D5B"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9</w:t>
            </w:r>
            <w:r w:rsidRPr="001378D7">
              <w:rPr>
                <w:rFonts w:ascii="Times New Roman" w:hAnsi="Times New Roman" w:cs="Times New Roman"/>
                <w:b/>
                <w:bCs/>
                <w:sz w:val="24"/>
                <w:szCs w:val="24"/>
                <w:vertAlign w:val="superscript"/>
                <w:lang w:val="uk-UA"/>
              </w:rPr>
              <w:t>2</w:t>
            </w:r>
            <w:r w:rsidR="00B60267" w:rsidRPr="001378D7">
              <w:rPr>
                <w:rFonts w:ascii="Times New Roman" w:hAnsi="Times New Roman" w:cs="Times New Roman"/>
                <w:b/>
                <w:bCs/>
                <w:sz w:val="24"/>
                <w:szCs w:val="24"/>
                <w:lang w:val="uk-UA"/>
              </w:rPr>
              <w:t xml:space="preserve">. У разі якщо замовник процедури оцінки відповідності виявив намір у продовженні процедури оцінки відповідності він має надати органу з оцінки відповідності план корекційних дій для усунення виявлених </w:t>
            </w:r>
            <w:proofErr w:type="spellStart"/>
            <w:r w:rsidR="00B60267" w:rsidRPr="001378D7">
              <w:rPr>
                <w:rFonts w:ascii="Times New Roman" w:hAnsi="Times New Roman" w:cs="Times New Roman"/>
                <w:b/>
                <w:bCs/>
                <w:sz w:val="24"/>
                <w:szCs w:val="24"/>
                <w:lang w:val="uk-UA"/>
              </w:rPr>
              <w:t>невідповідностей</w:t>
            </w:r>
            <w:proofErr w:type="spellEnd"/>
            <w:r w:rsidR="00B60267" w:rsidRPr="001378D7">
              <w:rPr>
                <w:rFonts w:ascii="Times New Roman" w:hAnsi="Times New Roman" w:cs="Times New Roman"/>
                <w:b/>
                <w:bCs/>
                <w:sz w:val="24"/>
                <w:szCs w:val="24"/>
                <w:lang w:val="uk-UA"/>
              </w:rPr>
              <w:t>.</w:t>
            </w:r>
          </w:p>
          <w:p w14:paraId="0CD9AA60" w14:textId="07876B8A"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b/>
                <w:bCs/>
                <w:sz w:val="24"/>
                <w:szCs w:val="24"/>
                <w:lang w:val="uk-UA"/>
              </w:rPr>
              <w:t>Орган з оцінки відповідності повинен оцінити корекційні дії та часові витрати на них, а також поінформувати замовника процедури оцінки відповідності про додаткові завдання оцінки відповідності, необхідні для підтвердження того, що невідповідності були виправлені.</w:t>
            </w:r>
          </w:p>
        </w:tc>
      </w:tr>
      <w:tr w:rsidR="00B60267" w:rsidRPr="008621D2" w14:paraId="0EA44789" w14:textId="77777777" w:rsidTr="00255893">
        <w:tc>
          <w:tcPr>
            <w:tcW w:w="7278" w:type="dxa"/>
          </w:tcPr>
          <w:p w14:paraId="3F6D810F" w14:textId="41CAADC6"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eastAsia="Times New Roman" w:hAnsi="Times New Roman" w:cs="Times New Roman"/>
                <w:bCs/>
                <w:sz w:val="24"/>
                <w:szCs w:val="24"/>
                <w:lang w:val="uk-UA"/>
              </w:rPr>
              <w:t>Відсутній</w:t>
            </w:r>
          </w:p>
        </w:tc>
        <w:tc>
          <w:tcPr>
            <w:tcW w:w="6897" w:type="dxa"/>
          </w:tcPr>
          <w:p w14:paraId="52E30162" w14:textId="06223802" w:rsidR="00B60267" w:rsidRPr="001378D7" w:rsidRDefault="00CB2D5B"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9</w:t>
            </w:r>
            <w:r w:rsidRPr="001378D7">
              <w:rPr>
                <w:rFonts w:ascii="Times New Roman" w:hAnsi="Times New Roman" w:cs="Times New Roman"/>
                <w:b/>
                <w:bCs/>
                <w:sz w:val="24"/>
                <w:szCs w:val="24"/>
                <w:vertAlign w:val="superscript"/>
                <w:lang w:val="uk-UA"/>
              </w:rPr>
              <w:t>3</w:t>
            </w:r>
            <w:r w:rsidR="00B60267" w:rsidRPr="001378D7">
              <w:rPr>
                <w:rFonts w:ascii="Times New Roman" w:hAnsi="Times New Roman" w:cs="Times New Roman"/>
                <w:b/>
                <w:bCs/>
                <w:sz w:val="24"/>
                <w:szCs w:val="24"/>
                <w:lang w:val="uk-UA"/>
              </w:rPr>
              <w:t>. Корекційні дії при незначній невідповідності, тобто невиконанні вимог, які не мають істотного впливу на безпеку та здатність кваліфікованого надавача електронних довірчих послуг надавати кваліфіковані електронні довірчі послуги</w:t>
            </w:r>
            <w:r w:rsidR="00EA2D49">
              <w:rPr>
                <w:rFonts w:ascii="Times New Roman" w:hAnsi="Times New Roman" w:cs="Times New Roman"/>
                <w:b/>
                <w:bCs/>
                <w:sz w:val="24"/>
                <w:szCs w:val="24"/>
                <w:lang w:val="uk-UA"/>
              </w:rPr>
              <w:t>,</w:t>
            </w:r>
            <w:r w:rsidR="00B60267" w:rsidRPr="001378D7">
              <w:rPr>
                <w:rFonts w:ascii="Times New Roman" w:hAnsi="Times New Roman" w:cs="Times New Roman"/>
                <w:b/>
                <w:bCs/>
                <w:sz w:val="24"/>
                <w:szCs w:val="24"/>
                <w:lang w:val="uk-UA"/>
              </w:rPr>
              <w:t xml:space="preserve"> повинні бути розглянуті протягом:</w:t>
            </w:r>
          </w:p>
          <w:p w14:paraId="69B8E64A" w14:textId="77777777" w:rsidR="00B60267" w:rsidRPr="001378D7" w:rsidRDefault="00B60267"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3 місяців після інформування замовника процедури оцінки відповідності про невідповідність аудиторського звіту;</w:t>
            </w:r>
          </w:p>
          <w:p w14:paraId="66FCE32E" w14:textId="75678EFA"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b/>
                <w:bCs/>
                <w:sz w:val="24"/>
                <w:szCs w:val="24"/>
                <w:lang w:val="uk-UA"/>
              </w:rPr>
              <w:t>6 місяців після інформування замовника процедури оцінки відповідності про невідповідність аудиторського звіту у разі документального підтвердження органу з оцінки відповідності, що корекційні дії потребують більш довгого періоду часу у зв’язку з їх складністю.</w:t>
            </w:r>
          </w:p>
        </w:tc>
      </w:tr>
      <w:tr w:rsidR="00CD3079" w:rsidRPr="001378D7" w14:paraId="1AB88450" w14:textId="77777777" w:rsidTr="00255893">
        <w:tc>
          <w:tcPr>
            <w:tcW w:w="7278" w:type="dxa"/>
          </w:tcPr>
          <w:p w14:paraId="46DDEFFA" w14:textId="77777777" w:rsidR="00CD3079" w:rsidRPr="001378D7" w:rsidRDefault="00CD3079" w:rsidP="00CD3079">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10. За результатами проведення процедури оцінки відповідності у сфері електронних довірчих послуг органом з оцінки відповідності приймається одне з таких рішень:</w:t>
            </w:r>
          </w:p>
          <w:p w14:paraId="4B4C2EE6" w14:textId="77777777" w:rsidR="00CD3079" w:rsidRPr="001378D7" w:rsidRDefault="00CD3079" w:rsidP="00CD3079">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про відповідність об’єкта оцінки відповідності у повному обсязі вимогам у сфері електронних довірчих послуг;</w:t>
            </w:r>
          </w:p>
          <w:p w14:paraId="44B008AB" w14:textId="77777777" w:rsidR="00CD3079" w:rsidRPr="001378D7" w:rsidRDefault="00CD3079" w:rsidP="00CD3079">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2) про часткову відповідність об’єкта оцінки відповідності вимогам у сфері електронних довірчих послуг з певними недоліками, які не впливають на якість надання кваліфікованих електронних довірчих послуг та можуть бути виправлені протягом трьох місяців після завершення процедури оцінки відповідності у сфері електронних довірчих послуг;</w:t>
            </w:r>
          </w:p>
          <w:p w14:paraId="4F2D9B7C" w14:textId="30495D2A" w:rsidR="00CD3079" w:rsidRPr="001378D7" w:rsidRDefault="00CD3079" w:rsidP="00CD3079">
            <w:pPr>
              <w:ind w:firstLine="601"/>
              <w:jc w:val="both"/>
              <w:rPr>
                <w:rFonts w:ascii="Times New Roman" w:hAnsi="Times New Roman" w:cs="Times New Roman"/>
                <w:b/>
                <w:bCs/>
                <w:sz w:val="24"/>
                <w:szCs w:val="24"/>
                <w:lang w:val="uk-UA"/>
              </w:rPr>
            </w:pPr>
            <w:r w:rsidRPr="001378D7">
              <w:rPr>
                <w:rFonts w:ascii="Times New Roman" w:hAnsi="Times New Roman" w:cs="Times New Roman"/>
                <w:sz w:val="24"/>
                <w:szCs w:val="24"/>
                <w:lang w:val="uk-UA"/>
              </w:rPr>
              <w:t>3) про невідповідність об’єкта оцінки відповідності вимогам у сфері електронних довірчих послуг.</w:t>
            </w:r>
          </w:p>
        </w:tc>
        <w:tc>
          <w:tcPr>
            <w:tcW w:w="6897" w:type="dxa"/>
          </w:tcPr>
          <w:p w14:paraId="56ACF24F" w14:textId="77777777" w:rsidR="00CD3079" w:rsidRPr="001378D7" w:rsidRDefault="00CD3079" w:rsidP="00CD3079">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10. За результатами проведення процедури оцінки відповідності у сфері електронних довірчих послуг органом з оцінки відповідності приймається одне з таких рішень:</w:t>
            </w:r>
          </w:p>
          <w:p w14:paraId="43D8AA33" w14:textId="77777777" w:rsidR="00CD3079" w:rsidRPr="001378D7" w:rsidRDefault="00CD3079" w:rsidP="00CD3079">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про відповідність об’єкта оцінки відповідності у повному обсязі вимогам у сфері електронних довірчих послуг;</w:t>
            </w:r>
          </w:p>
          <w:p w14:paraId="23B2BAE4" w14:textId="6A0636C6" w:rsidR="00CD3079" w:rsidRPr="001378D7" w:rsidRDefault="00CD3079" w:rsidP="00CD3079">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2) про невідповідність об’єкта оцінки відповідності вимогам у сфері електронних довірчих послуг.</w:t>
            </w:r>
          </w:p>
        </w:tc>
      </w:tr>
      <w:tr w:rsidR="00CD3079" w:rsidRPr="008621D2" w14:paraId="1972EF4E" w14:textId="77777777" w:rsidTr="00255893">
        <w:tc>
          <w:tcPr>
            <w:tcW w:w="7278" w:type="dxa"/>
          </w:tcPr>
          <w:p w14:paraId="2329F6A2" w14:textId="32FEB5EC" w:rsidR="00CD3079" w:rsidRPr="001378D7" w:rsidRDefault="00CD3079"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11. У разі прийняття рішення про відповідність об’єкта оцінки відповідності вимогам у сфері електронних довірчих послуг орган з оцінки відповідності видає замовнику процедури оцінки відповідності підписаний документ про відповідність, невід’ємною частиною якого є аудиторський звіт.</w:t>
            </w:r>
          </w:p>
        </w:tc>
        <w:tc>
          <w:tcPr>
            <w:tcW w:w="6897" w:type="dxa"/>
          </w:tcPr>
          <w:p w14:paraId="1BE774A7" w14:textId="1C210A17" w:rsidR="00CD3079" w:rsidRPr="001378D7" w:rsidRDefault="00CD3079" w:rsidP="00B60267">
            <w:pPr>
              <w:ind w:firstLine="601"/>
              <w:jc w:val="both"/>
              <w:rPr>
                <w:rFonts w:ascii="Times New Roman" w:hAnsi="Times New Roman" w:cs="Times New Roman"/>
                <w:bCs/>
                <w:sz w:val="24"/>
                <w:szCs w:val="24"/>
                <w:lang w:val="uk-UA"/>
              </w:rPr>
            </w:pPr>
            <w:r w:rsidRPr="001378D7">
              <w:rPr>
                <w:rFonts w:ascii="Times New Roman" w:hAnsi="Times New Roman" w:cs="Times New Roman"/>
                <w:bCs/>
                <w:sz w:val="24"/>
                <w:szCs w:val="24"/>
                <w:lang w:val="uk-UA"/>
              </w:rPr>
              <w:t>11. У разі прийняття рішення про відповідність об’єкта оцінки відповідності вимогам у сфері електронних довірчих послуг орган з оцінки відповідності видає замовнику процедури оцінки відповідності підписаний документ про відповідність, невід’ємною частиною якого є аудиторський звіт.</w:t>
            </w:r>
          </w:p>
        </w:tc>
      </w:tr>
      <w:tr w:rsidR="00B60267" w:rsidRPr="001378D7" w14:paraId="5A5B1EB5" w14:textId="77777777" w:rsidTr="00255893">
        <w:tc>
          <w:tcPr>
            <w:tcW w:w="7278" w:type="dxa"/>
          </w:tcPr>
          <w:p w14:paraId="7C0FE64E" w14:textId="4E3FCAE6"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12. У разі прийняття рішення про часткову відповідність об’єкта оцінки відповідності вимогам у сфері електронних довірчих послуг орган з оцінки відповідності видає замовнику процедури оцінки відповідності аудиторський звіт з висновками про часткову відповідність з переліком недоліків, які можливо виправити протягом трьох місяців після завершення процедури оцінки відповідності у сфері електронних довірчих послуг.</w:t>
            </w:r>
          </w:p>
        </w:tc>
        <w:tc>
          <w:tcPr>
            <w:tcW w:w="6897" w:type="dxa"/>
          </w:tcPr>
          <w:p w14:paraId="09033028" w14:textId="7A25522C" w:rsidR="00B60267" w:rsidRPr="001378D7" w:rsidRDefault="00B60267"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Пункт виключено</w:t>
            </w:r>
          </w:p>
        </w:tc>
      </w:tr>
      <w:tr w:rsidR="00B60267" w:rsidRPr="001378D7" w14:paraId="407A680F" w14:textId="77777777" w:rsidTr="00255893">
        <w:tc>
          <w:tcPr>
            <w:tcW w:w="7278" w:type="dxa"/>
          </w:tcPr>
          <w:p w14:paraId="638F304C" w14:textId="023EF975"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13. Після виправлення недоліків органом з оцінки відповідності може бути проведена додаткова процедура оцінки відповідності у сфері електронних довірчих послуг щодо підтвердження виправлення недоліків протягом не більш як трьох місяців.</w:t>
            </w:r>
          </w:p>
        </w:tc>
        <w:tc>
          <w:tcPr>
            <w:tcW w:w="6897" w:type="dxa"/>
          </w:tcPr>
          <w:p w14:paraId="073CBF0F" w14:textId="3E0AAF23" w:rsidR="00B60267" w:rsidRPr="001378D7" w:rsidRDefault="00B60267"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Пункт виключено</w:t>
            </w:r>
          </w:p>
        </w:tc>
      </w:tr>
      <w:tr w:rsidR="00B60267" w:rsidRPr="001378D7" w14:paraId="1A954C73" w14:textId="77777777" w:rsidTr="00255893">
        <w:tc>
          <w:tcPr>
            <w:tcW w:w="7278" w:type="dxa"/>
          </w:tcPr>
          <w:p w14:paraId="44CED43D" w14:textId="7643F1B2" w:rsidR="00B60267" w:rsidRPr="001378D7" w:rsidRDefault="00B60267" w:rsidP="00B60267">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 xml:space="preserve">14. Якщо під час додаткової процедури оцінки відповідності у сфері електронних довірчих послуг виправлення недоліків підтверджено та доведено відповідність об’єкта оцінки відповідності вимогам у сфері електронних довірчих послуг, орган з оцінки </w:t>
            </w:r>
            <w:r w:rsidRPr="001378D7">
              <w:rPr>
                <w:rFonts w:ascii="Times New Roman" w:hAnsi="Times New Roman" w:cs="Times New Roman"/>
                <w:sz w:val="24"/>
                <w:szCs w:val="24"/>
                <w:lang w:val="uk-UA"/>
              </w:rPr>
              <w:lastRenderedPageBreak/>
              <w:t>відповідності видає замовнику процедури оцінки відповідності підписаний документ про відповідність, невід’ємною частиною якого є аудиторський звіт.</w:t>
            </w:r>
          </w:p>
        </w:tc>
        <w:tc>
          <w:tcPr>
            <w:tcW w:w="6897" w:type="dxa"/>
          </w:tcPr>
          <w:p w14:paraId="4DB1018D" w14:textId="3AEDB957" w:rsidR="00B60267" w:rsidRPr="001378D7" w:rsidRDefault="00B60267" w:rsidP="00B60267">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lastRenderedPageBreak/>
              <w:t>Пункт виключено</w:t>
            </w:r>
          </w:p>
        </w:tc>
      </w:tr>
      <w:tr w:rsidR="00665296" w:rsidRPr="008621D2" w14:paraId="08C81B43" w14:textId="77777777" w:rsidTr="00255893">
        <w:tc>
          <w:tcPr>
            <w:tcW w:w="7278" w:type="dxa"/>
          </w:tcPr>
          <w:p w14:paraId="33E2F58A" w14:textId="4406ED9D"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15. У разі прийняття рішення про невідповідність об’єкта оцінки відповідності вимогам у сфері електронних довірчих послуг орган з оцінки відповідності видає замовнику процедури оцінки відповідності аудиторський звіт з висновками про невідповідність з переліком недоліків.</w:t>
            </w:r>
          </w:p>
        </w:tc>
        <w:tc>
          <w:tcPr>
            <w:tcW w:w="6897" w:type="dxa"/>
          </w:tcPr>
          <w:p w14:paraId="24F29197" w14:textId="451A9C57" w:rsidR="00665296" w:rsidRPr="001378D7" w:rsidRDefault="00665296" w:rsidP="00665296">
            <w:pPr>
              <w:ind w:firstLine="601"/>
              <w:jc w:val="both"/>
              <w:rPr>
                <w:rFonts w:ascii="Times New Roman" w:hAnsi="Times New Roman" w:cs="Times New Roman"/>
                <w:b/>
                <w:bCs/>
                <w:sz w:val="24"/>
                <w:szCs w:val="24"/>
                <w:lang w:val="uk-UA"/>
              </w:rPr>
            </w:pPr>
            <w:r w:rsidRPr="001378D7">
              <w:rPr>
                <w:rFonts w:ascii="Times New Roman" w:hAnsi="Times New Roman" w:cs="Times New Roman"/>
                <w:sz w:val="24"/>
                <w:szCs w:val="24"/>
                <w:lang w:val="uk-UA"/>
              </w:rPr>
              <w:t>15. У разі прийняття рішення про невідповідність об’єкта оцінки відповідності вимогам у сфері електронних довірчих послуг орган з оцінки відповідності видає замовнику процедури оцінки відповідності аудиторський звіт з висновками про невідповідність з переліком недоліків.</w:t>
            </w:r>
          </w:p>
        </w:tc>
      </w:tr>
      <w:tr w:rsidR="00665296" w:rsidRPr="001378D7" w14:paraId="38B7B119" w14:textId="77777777" w:rsidTr="00255893">
        <w:tc>
          <w:tcPr>
            <w:tcW w:w="7278" w:type="dxa"/>
          </w:tcPr>
          <w:p w14:paraId="6DEF9F71"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16. Документ про відповідність повинен містити такі відомості:</w:t>
            </w:r>
          </w:p>
          <w:p w14:paraId="4030E25C"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найменування органу з оцінки відповідності;</w:t>
            </w:r>
          </w:p>
          <w:p w14:paraId="01D5B4AA"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2) інформацію про акредитацію органу з оцінки відповідності (дата та номер атестата про акредитацію);</w:t>
            </w:r>
          </w:p>
          <w:p w14:paraId="253C5D61"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3) прізвище, ім’я, по батькові (у разі наявності) осіб, що проводили процедуру оцінки відповідності у сфері електронних довірчих послуг;</w:t>
            </w:r>
          </w:p>
          <w:p w14:paraId="30F738A7"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4) період проведення процедури оцінки відповідності у сфері електронних довірчих послуг;</w:t>
            </w:r>
          </w:p>
          <w:p w14:paraId="518AD374"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5) реквізити замовника процедури оцінки відповідності у сфері електронних довірчих послуг (найменування або прізвище, ім’я та по батькові, ідентифікаційні дані та контактна інформація);</w:t>
            </w:r>
          </w:p>
          <w:p w14:paraId="66821D24"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6) сфера оцінки відповідності;</w:t>
            </w:r>
          </w:p>
          <w:p w14:paraId="587EA709"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7) перелік кваліфікованих електронних довірчих послуг, які має намір надавати або надає замовник процедури оцінки відповідності;</w:t>
            </w:r>
          </w:p>
          <w:p w14:paraId="2402C1C1"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8) найменування інформаційно-телекомунікаційної системи;</w:t>
            </w:r>
          </w:p>
          <w:p w14:paraId="78769100"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9) найменування засобів кваліфікованого електронного підпису, які будуть використовуватися або використовуються під час надання кваліфікованих електронних довірчих послуг;</w:t>
            </w:r>
          </w:p>
          <w:p w14:paraId="2AF52A00"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10) перелік вимог у сфері електронних довірчих послуг, національних стандартів та/або технічних специфікацій, щодо відповідності яким проводилася процедура оцінка відповідності у сфері електронних довірчих послуг;</w:t>
            </w:r>
          </w:p>
          <w:p w14:paraId="64B3B9A0"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11) висновок щодо відповідності об’єкта оцінки відповідності вимогам у сфері електронних довірчих послуг;</w:t>
            </w:r>
          </w:p>
          <w:p w14:paraId="5BEE6F26" w14:textId="38282B4C"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12) строк дії документа про відповідність.</w:t>
            </w:r>
          </w:p>
        </w:tc>
        <w:tc>
          <w:tcPr>
            <w:tcW w:w="6897" w:type="dxa"/>
          </w:tcPr>
          <w:p w14:paraId="053AFF5A"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16. Документ про відповідність повинен містити такі відомості:</w:t>
            </w:r>
          </w:p>
          <w:p w14:paraId="4362DDA9"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 найменування органу з оцінки відповідності;</w:t>
            </w:r>
          </w:p>
          <w:p w14:paraId="42DE7E8D"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2) інформацію про акредитацію органу з оцінки відповідності (дата та номер атестата про акредитацію);</w:t>
            </w:r>
          </w:p>
          <w:p w14:paraId="6CA9BF1C"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3) прізвище, ім’я, по батькові (у разі наявності) осіб, що проводили процедуру оцінки відповідності у сфері електронних довірчих послуг;</w:t>
            </w:r>
          </w:p>
          <w:p w14:paraId="471597D9"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4) період проведення процедури оцінки відповідності у сфері електронних довірчих послуг;</w:t>
            </w:r>
          </w:p>
          <w:p w14:paraId="226F3148"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5) реквізити замовника процедури оцінки відповідності у сфері електронних довірчих послуг (найменування або прізвище, ім’я та по батькові, ідентифікаційні дані та контактна інформація);</w:t>
            </w:r>
          </w:p>
          <w:p w14:paraId="1EC25BA5"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6) сфера оцінки відповідності;</w:t>
            </w:r>
          </w:p>
          <w:p w14:paraId="21427D2B"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7) перелік кваліфікованих електронних довірчих послуг, які має намір надавати або надає замовник процедури оцінки відповідності;</w:t>
            </w:r>
          </w:p>
          <w:p w14:paraId="0EC8A541" w14:textId="503068A2"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8) найменування інформаційно-</w:t>
            </w:r>
            <w:r w:rsidRPr="001378D7">
              <w:rPr>
                <w:rFonts w:ascii="Times New Roman" w:hAnsi="Times New Roman" w:cs="Times New Roman"/>
                <w:b/>
                <w:sz w:val="24"/>
                <w:szCs w:val="24"/>
                <w:lang w:val="uk-UA"/>
              </w:rPr>
              <w:t>комунікаційної</w:t>
            </w:r>
            <w:r w:rsidRPr="001378D7">
              <w:rPr>
                <w:rFonts w:ascii="Times New Roman" w:hAnsi="Times New Roman" w:cs="Times New Roman"/>
                <w:sz w:val="24"/>
                <w:szCs w:val="24"/>
                <w:lang w:val="uk-UA"/>
              </w:rPr>
              <w:t xml:space="preserve"> системи;</w:t>
            </w:r>
          </w:p>
          <w:p w14:paraId="42785ECB"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9) найменування засобів кваліфікованого електронного підпису, які будуть використовуватися або використовуються під час надання кваліфікованих електронних довірчих послуг;</w:t>
            </w:r>
          </w:p>
          <w:p w14:paraId="1ED963B8"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10) перелік вимог у сфері електронних довірчих послуг, національних стандартів та/або технічних специфікацій, щодо відповідності яким проводилася процедура оцінка відповідності у сфері електронних довірчих послуг;</w:t>
            </w:r>
          </w:p>
          <w:p w14:paraId="14D358BF" w14:textId="7777777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11) висновок щодо відповідності об’єкта оцінки відповідності вимогам у сфері електронних довірчих послуг;</w:t>
            </w:r>
          </w:p>
          <w:p w14:paraId="652ADEF1" w14:textId="0B005522" w:rsidR="00665296" w:rsidRPr="001378D7" w:rsidRDefault="00665296" w:rsidP="00665296">
            <w:pPr>
              <w:ind w:firstLine="601"/>
              <w:jc w:val="both"/>
              <w:rPr>
                <w:rFonts w:ascii="Times New Roman" w:hAnsi="Times New Roman" w:cs="Times New Roman"/>
                <w:b/>
                <w:bCs/>
                <w:sz w:val="24"/>
                <w:szCs w:val="24"/>
                <w:lang w:val="uk-UA"/>
              </w:rPr>
            </w:pPr>
            <w:r w:rsidRPr="001378D7">
              <w:rPr>
                <w:rFonts w:ascii="Times New Roman" w:hAnsi="Times New Roman" w:cs="Times New Roman"/>
                <w:sz w:val="24"/>
                <w:szCs w:val="24"/>
                <w:lang w:val="uk-UA"/>
              </w:rPr>
              <w:t>12) строк дії документа про відповідність.</w:t>
            </w:r>
          </w:p>
        </w:tc>
      </w:tr>
      <w:tr w:rsidR="00665296" w:rsidRPr="008621D2" w14:paraId="4DE2840A" w14:textId="77777777" w:rsidTr="00255893">
        <w:tc>
          <w:tcPr>
            <w:tcW w:w="7278" w:type="dxa"/>
          </w:tcPr>
          <w:p w14:paraId="5AFEC3F2" w14:textId="06186050"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lastRenderedPageBreak/>
              <w:t>17. Кваліфіковані надавачі електронних довірчих послуг, які пройшли процедуру оцінки відповідності у сфері електронних довірчих послуг та відомості про яких внесені до Довірчого списку, проходять планову процедуру оцінки відповідності у сфері електронних довірчих послуг кожні 24 місяці.</w:t>
            </w:r>
          </w:p>
        </w:tc>
        <w:tc>
          <w:tcPr>
            <w:tcW w:w="6897" w:type="dxa"/>
          </w:tcPr>
          <w:p w14:paraId="7AB005FC" w14:textId="13C5943B" w:rsidR="00665296" w:rsidRPr="001378D7" w:rsidRDefault="00665296" w:rsidP="00665296">
            <w:pPr>
              <w:ind w:firstLine="601"/>
              <w:jc w:val="both"/>
              <w:rPr>
                <w:rFonts w:ascii="Times New Roman" w:hAnsi="Times New Roman" w:cs="Times New Roman"/>
                <w:b/>
                <w:bCs/>
                <w:sz w:val="24"/>
                <w:szCs w:val="24"/>
                <w:lang w:val="uk-UA"/>
              </w:rPr>
            </w:pPr>
            <w:r w:rsidRPr="001378D7">
              <w:rPr>
                <w:rFonts w:ascii="Times New Roman" w:hAnsi="Times New Roman" w:cs="Times New Roman"/>
                <w:sz w:val="24"/>
                <w:szCs w:val="24"/>
                <w:lang w:val="uk-UA"/>
              </w:rPr>
              <w:t>17. Кваліфіковані надавачі електронних довірчих послуг, які пройшли процедуру оцінки відповідності у сфері електронних довірчих послуг та відомості про яких внесені до Довірчого списку, проходять планову процедуру оцінки відповідності у сфері електронних довірчих послуг кожні 24 місяці.</w:t>
            </w:r>
          </w:p>
        </w:tc>
      </w:tr>
      <w:tr w:rsidR="00665296" w:rsidRPr="008621D2" w14:paraId="17CC8D1A" w14:textId="77777777" w:rsidTr="00255893">
        <w:tc>
          <w:tcPr>
            <w:tcW w:w="7278" w:type="dxa"/>
          </w:tcPr>
          <w:p w14:paraId="5DDFE4A2" w14:textId="2477F149"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eastAsia="Times New Roman" w:hAnsi="Times New Roman" w:cs="Times New Roman"/>
                <w:bCs/>
                <w:sz w:val="24"/>
                <w:szCs w:val="24"/>
                <w:lang w:val="uk-UA"/>
              </w:rPr>
              <w:t>Відсутній</w:t>
            </w:r>
          </w:p>
        </w:tc>
        <w:tc>
          <w:tcPr>
            <w:tcW w:w="6897" w:type="dxa"/>
          </w:tcPr>
          <w:p w14:paraId="3B2511E9" w14:textId="34A06DB2" w:rsidR="00665296" w:rsidRPr="001378D7" w:rsidRDefault="00665296" w:rsidP="00665296">
            <w:pPr>
              <w:ind w:firstLine="601"/>
              <w:jc w:val="both"/>
              <w:rPr>
                <w:rFonts w:ascii="Times New Roman" w:hAnsi="Times New Roman" w:cs="Times New Roman"/>
                <w:b/>
                <w:bCs/>
                <w:sz w:val="24"/>
                <w:szCs w:val="24"/>
                <w:lang w:val="uk-UA"/>
              </w:rPr>
            </w:pPr>
            <w:r w:rsidRPr="001378D7">
              <w:rPr>
                <w:rFonts w:ascii="Times New Roman" w:hAnsi="Times New Roman" w:cs="Times New Roman"/>
                <w:b/>
                <w:bCs/>
                <w:sz w:val="24"/>
                <w:szCs w:val="24"/>
                <w:lang w:val="uk-UA"/>
              </w:rPr>
              <w:t>17</w:t>
            </w:r>
            <w:r w:rsidRPr="001378D7">
              <w:rPr>
                <w:rFonts w:ascii="Times New Roman" w:hAnsi="Times New Roman" w:cs="Times New Roman"/>
                <w:b/>
                <w:bCs/>
                <w:sz w:val="24"/>
                <w:szCs w:val="24"/>
                <w:vertAlign w:val="superscript"/>
                <w:lang w:val="uk-UA"/>
              </w:rPr>
              <w:t>1</w:t>
            </w:r>
            <w:r w:rsidRPr="001378D7">
              <w:rPr>
                <w:rFonts w:ascii="Times New Roman" w:hAnsi="Times New Roman" w:cs="Times New Roman"/>
                <w:b/>
                <w:bCs/>
                <w:sz w:val="24"/>
                <w:szCs w:val="24"/>
                <w:lang w:val="uk-UA"/>
              </w:rPr>
              <w:t xml:space="preserve">. Орган з оцінки відповідності має визначити програму періодичного нагляду і повторної оцінки відповідності у сфері електронних довірчих послуг, яка включатиме </w:t>
            </w:r>
            <w:r w:rsidR="00B30BE0">
              <w:rPr>
                <w:rFonts w:ascii="Times New Roman" w:hAnsi="Times New Roman" w:cs="Times New Roman"/>
                <w:b/>
                <w:bCs/>
                <w:sz w:val="24"/>
                <w:szCs w:val="24"/>
                <w:lang w:val="uk-UA"/>
              </w:rPr>
              <w:t>виїзний захід</w:t>
            </w:r>
            <w:r w:rsidRPr="001378D7">
              <w:rPr>
                <w:rFonts w:ascii="Times New Roman" w:hAnsi="Times New Roman" w:cs="Times New Roman"/>
                <w:b/>
                <w:bCs/>
                <w:sz w:val="24"/>
                <w:szCs w:val="24"/>
                <w:lang w:val="uk-UA"/>
              </w:rPr>
              <w:t xml:space="preserve"> для підтвердження того, що кваліфіковані надавачі електронних довірчих послуг і послуги, що ними надаються, продовжують відповідати вимогам у сфері електронних довірчих послуг.</w:t>
            </w:r>
          </w:p>
          <w:p w14:paraId="7152FD4E" w14:textId="05CF875D" w:rsidR="00665296" w:rsidRPr="001378D7" w:rsidRDefault="00665296" w:rsidP="00665296">
            <w:pPr>
              <w:ind w:firstLine="601"/>
              <w:jc w:val="both"/>
              <w:rPr>
                <w:rFonts w:ascii="Times New Roman" w:hAnsi="Times New Roman" w:cs="Times New Roman"/>
                <w:sz w:val="24"/>
                <w:szCs w:val="24"/>
                <w:lang w:val="uk-UA"/>
              </w:rPr>
            </w:pPr>
          </w:p>
        </w:tc>
      </w:tr>
      <w:tr w:rsidR="00665296" w:rsidRPr="008621D2" w14:paraId="38B50827" w14:textId="77777777" w:rsidTr="00255893">
        <w:tc>
          <w:tcPr>
            <w:tcW w:w="7278" w:type="dxa"/>
          </w:tcPr>
          <w:p w14:paraId="51A067C9" w14:textId="2D91903F"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18. Процедура повторної (позапланової) оцінки відповідності у сфері електронних довірчих послуг проводиться у разі наявності обставин, визначених у стандарті ДСТУ ETSI EN 319 403:2016 “Електронні підписи та інфраструктури (ESI). Оцінювання відповідності провайдерів довірчих послуг. Вимоги до органів з оцінювання відповідності, що оцінюють провайдерів довірчих послуг” (ETSI EN 319 403:2015, IDT).</w:t>
            </w:r>
          </w:p>
        </w:tc>
        <w:tc>
          <w:tcPr>
            <w:tcW w:w="6897" w:type="dxa"/>
          </w:tcPr>
          <w:p w14:paraId="11BA7206" w14:textId="243CA507" w:rsidR="00665296" w:rsidRPr="001378D7" w:rsidRDefault="00665296" w:rsidP="00665296">
            <w:pPr>
              <w:ind w:firstLine="601"/>
              <w:jc w:val="both"/>
              <w:rPr>
                <w:rFonts w:ascii="Times New Roman" w:hAnsi="Times New Roman" w:cs="Times New Roman"/>
                <w:sz w:val="24"/>
                <w:szCs w:val="24"/>
                <w:lang w:val="uk-UA"/>
              </w:rPr>
            </w:pPr>
            <w:r w:rsidRPr="001378D7">
              <w:rPr>
                <w:rFonts w:ascii="Times New Roman" w:hAnsi="Times New Roman" w:cs="Times New Roman"/>
                <w:sz w:val="24"/>
                <w:szCs w:val="24"/>
                <w:lang w:val="uk-UA"/>
              </w:rPr>
              <w:t xml:space="preserve">18. Процедура повторної (позапланової) оцінки відповідності у сфері електронних довірчих послуг проводиться у разі наявності обставин, визначених у </w:t>
            </w:r>
            <w:r w:rsidR="00223620" w:rsidRPr="00223620">
              <w:rPr>
                <w:rFonts w:ascii="Times New Roman" w:hAnsi="Times New Roman" w:cs="Times New Roman"/>
                <w:b/>
                <w:sz w:val="24"/>
                <w:szCs w:val="24"/>
                <w:lang w:val="uk-UA"/>
              </w:rPr>
              <w:t>стандартах ДСТУ ETSI EN 319 403-1:2021 та ДСТУ ETSI TS 119 403-2:2021.</w:t>
            </w:r>
          </w:p>
        </w:tc>
      </w:tr>
    </w:tbl>
    <w:p w14:paraId="277831CF" w14:textId="6B861624" w:rsidR="002476B8" w:rsidRPr="001378D7" w:rsidRDefault="002476B8" w:rsidP="00382162">
      <w:pPr>
        <w:spacing w:line="240" w:lineRule="auto"/>
        <w:rPr>
          <w:rFonts w:ascii="Times New Roman" w:hAnsi="Times New Roman" w:cs="Times New Roman"/>
          <w:sz w:val="24"/>
          <w:szCs w:val="24"/>
          <w:lang w:val="uk-UA"/>
        </w:rPr>
      </w:pPr>
    </w:p>
    <w:p w14:paraId="120C5499" w14:textId="7E162C3F" w:rsidR="000124DD" w:rsidRPr="001378D7" w:rsidRDefault="000124DD" w:rsidP="00382162">
      <w:pPr>
        <w:spacing w:line="240" w:lineRule="auto"/>
        <w:rPr>
          <w:rFonts w:ascii="Times New Roman" w:hAnsi="Times New Roman" w:cs="Times New Roman"/>
          <w:sz w:val="24"/>
          <w:szCs w:val="24"/>
          <w:lang w:val="uk-UA"/>
        </w:rPr>
      </w:pPr>
    </w:p>
    <w:p w14:paraId="5F8CF2FE" w14:textId="77777777" w:rsidR="005F2A44" w:rsidRPr="005F2A44" w:rsidRDefault="005F2A44" w:rsidP="005F2A44">
      <w:pPr>
        <w:tabs>
          <w:tab w:val="right" w:pos="14566"/>
        </w:tabs>
        <w:spacing w:line="240" w:lineRule="auto"/>
        <w:jc w:val="both"/>
        <w:rPr>
          <w:rFonts w:ascii="Times New Roman" w:hAnsi="Times New Roman" w:cs="Times New Roman"/>
          <w:b/>
          <w:sz w:val="24"/>
          <w:szCs w:val="24"/>
          <w:lang w:val="uk-UA"/>
        </w:rPr>
      </w:pPr>
      <w:r w:rsidRPr="005F2A44">
        <w:rPr>
          <w:rFonts w:ascii="Times New Roman" w:hAnsi="Times New Roman" w:cs="Times New Roman"/>
          <w:b/>
          <w:sz w:val="24"/>
          <w:szCs w:val="24"/>
          <w:lang w:val="uk-UA"/>
        </w:rPr>
        <w:t>Заступник Міністра цифрової</w:t>
      </w:r>
    </w:p>
    <w:p w14:paraId="33AC75B5" w14:textId="4BA191C1" w:rsidR="000124DD" w:rsidRPr="001378D7" w:rsidRDefault="005F2A44" w:rsidP="005F2A44">
      <w:pPr>
        <w:tabs>
          <w:tab w:val="right" w:pos="14566"/>
        </w:tabs>
        <w:spacing w:line="240" w:lineRule="auto"/>
        <w:jc w:val="both"/>
        <w:rPr>
          <w:rFonts w:ascii="Times New Roman" w:hAnsi="Times New Roman" w:cs="Times New Roman"/>
          <w:b/>
          <w:sz w:val="24"/>
          <w:szCs w:val="24"/>
          <w:lang w:val="uk-UA"/>
        </w:rPr>
      </w:pPr>
      <w:r w:rsidRPr="005F2A44">
        <w:rPr>
          <w:rFonts w:ascii="Times New Roman" w:hAnsi="Times New Roman" w:cs="Times New Roman"/>
          <w:b/>
          <w:sz w:val="24"/>
          <w:szCs w:val="24"/>
          <w:lang w:val="uk-UA"/>
        </w:rPr>
        <w:t xml:space="preserve">трансформації України </w:t>
      </w:r>
      <w:r w:rsidRPr="005F2A44">
        <w:rPr>
          <w:rFonts w:ascii="Times New Roman" w:hAnsi="Times New Roman" w:cs="Times New Roman"/>
          <w:b/>
          <w:sz w:val="24"/>
          <w:szCs w:val="24"/>
          <w:lang w:val="uk-UA"/>
        </w:rPr>
        <w:tab/>
        <w:t>Олександр БОРНЯКОВ</w:t>
      </w:r>
      <w:r>
        <w:rPr>
          <w:rFonts w:ascii="Times New Roman" w:hAnsi="Times New Roman" w:cs="Times New Roman"/>
          <w:b/>
          <w:sz w:val="24"/>
          <w:szCs w:val="24"/>
          <w:lang w:val="uk-UA"/>
        </w:rPr>
        <w:t xml:space="preserve"> </w:t>
      </w:r>
    </w:p>
    <w:sectPr w:rsidR="000124DD" w:rsidRPr="001378D7" w:rsidSect="004D13C3">
      <w:headerReference w:type="default" r:id="rId16"/>
      <w:footerReference w:type="first" r:id="rId17"/>
      <w:pgSz w:w="16834" w:h="11909" w:orient="landscape"/>
      <w:pgMar w:top="1226" w:right="532" w:bottom="1135" w:left="1560" w:header="56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059" w14:textId="77777777" w:rsidR="005D19D3" w:rsidRDefault="005D19D3" w:rsidP="007E09C2">
      <w:pPr>
        <w:spacing w:line="240" w:lineRule="auto"/>
      </w:pPr>
      <w:r>
        <w:separator/>
      </w:r>
    </w:p>
  </w:endnote>
  <w:endnote w:type="continuationSeparator" w:id="0">
    <w:p w14:paraId="12193D5A" w14:textId="77777777" w:rsidR="005D19D3" w:rsidRDefault="005D19D3" w:rsidP="007E0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BFEB" w14:textId="531D963D" w:rsidR="00255893" w:rsidRDefault="00255893">
    <w:pPr>
      <w:pStyle w:val="ab"/>
    </w:pPr>
  </w:p>
  <w:p w14:paraId="311976FB" w14:textId="77777777" w:rsidR="00255893" w:rsidRDefault="00255893">
    <w:pPr>
      <w:pStyle w:val="ab"/>
    </w:pPr>
  </w:p>
  <w:p w14:paraId="12F9A280" w14:textId="0DDBD335" w:rsidR="00255893" w:rsidRDefault="00255893">
    <w:pPr>
      <w:pStyle w:val="ab"/>
    </w:pPr>
  </w:p>
  <w:p w14:paraId="45424F67" w14:textId="1BECF045" w:rsidR="00255893" w:rsidRDefault="00255893">
    <w:pPr>
      <w:pStyle w:val="ab"/>
    </w:pPr>
  </w:p>
  <w:p w14:paraId="6BCA5657" w14:textId="77777777" w:rsidR="00255893" w:rsidRDefault="002558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BD3F" w14:textId="77777777" w:rsidR="005D19D3" w:rsidRDefault="005D19D3" w:rsidP="007E09C2">
      <w:pPr>
        <w:spacing w:line="240" w:lineRule="auto"/>
      </w:pPr>
      <w:r>
        <w:separator/>
      </w:r>
    </w:p>
  </w:footnote>
  <w:footnote w:type="continuationSeparator" w:id="0">
    <w:p w14:paraId="044575D9" w14:textId="77777777" w:rsidR="005D19D3" w:rsidRDefault="005D19D3" w:rsidP="007E0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8159"/>
      <w:docPartObj>
        <w:docPartGallery w:val="Page Numbers (Top of Page)"/>
        <w:docPartUnique/>
      </w:docPartObj>
    </w:sdtPr>
    <w:sdtEndPr>
      <w:rPr>
        <w:rFonts w:ascii="Times New Roman" w:hAnsi="Times New Roman" w:cs="Times New Roman"/>
        <w:sz w:val="28"/>
        <w:szCs w:val="28"/>
      </w:rPr>
    </w:sdtEndPr>
    <w:sdtContent>
      <w:p w14:paraId="6D28BD04" w14:textId="1F61EF7F" w:rsidR="007E09C2" w:rsidRPr="007E09C2" w:rsidRDefault="007E09C2">
        <w:pPr>
          <w:pStyle w:val="a9"/>
          <w:jc w:val="center"/>
          <w:rPr>
            <w:rFonts w:ascii="Times New Roman" w:hAnsi="Times New Roman" w:cs="Times New Roman"/>
            <w:sz w:val="28"/>
            <w:szCs w:val="28"/>
          </w:rPr>
        </w:pPr>
        <w:r w:rsidRPr="007E09C2">
          <w:rPr>
            <w:rFonts w:ascii="Times New Roman" w:hAnsi="Times New Roman" w:cs="Times New Roman"/>
            <w:sz w:val="28"/>
            <w:szCs w:val="28"/>
          </w:rPr>
          <w:fldChar w:fldCharType="begin"/>
        </w:r>
        <w:r w:rsidRPr="007E09C2">
          <w:rPr>
            <w:rFonts w:ascii="Times New Roman" w:hAnsi="Times New Roman" w:cs="Times New Roman"/>
            <w:sz w:val="28"/>
            <w:szCs w:val="28"/>
          </w:rPr>
          <w:instrText>PAGE   \* MERGEFORMAT</w:instrText>
        </w:r>
        <w:r w:rsidRPr="007E09C2">
          <w:rPr>
            <w:rFonts w:ascii="Times New Roman" w:hAnsi="Times New Roman" w:cs="Times New Roman"/>
            <w:sz w:val="28"/>
            <w:szCs w:val="28"/>
          </w:rPr>
          <w:fldChar w:fldCharType="separate"/>
        </w:r>
        <w:r w:rsidR="000E1E2C" w:rsidRPr="000E1E2C">
          <w:rPr>
            <w:rFonts w:ascii="Times New Roman" w:hAnsi="Times New Roman" w:cs="Times New Roman"/>
            <w:noProof/>
            <w:sz w:val="28"/>
            <w:szCs w:val="28"/>
            <w:lang w:val="uk-UA"/>
          </w:rPr>
          <w:t>8</w:t>
        </w:r>
        <w:r w:rsidRPr="007E09C2">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B8"/>
    <w:rsid w:val="000124DD"/>
    <w:rsid w:val="00024180"/>
    <w:rsid w:val="000242F1"/>
    <w:rsid w:val="00034A0A"/>
    <w:rsid w:val="00036767"/>
    <w:rsid w:val="00070DEF"/>
    <w:rsid w:val="00095E38"/>
    <w:rsid w:val="000A112A"/>
    <w:rsid w:val="000B2E9F"/>
    <w:rsid w:val="000B4B30"/>
    <w:rsid w:val="000D0F5C"/>
    <w:rsid w:val="000E1E2C"/>
    <w:rsid w:val="000E2C6D"/>
    <w:rsid w:val="001077EA"/>
    <w:rsid w:val="00107938"/>
    <w:rsid w:val="00120086"/>
    <w:rsid w:val="00131773"/>
    <w:rsid w:val="001333A0"/>
    <w:rsid w:val="001378D7"/>
    <w:rsid w:val="00146974"/>
    <w:rsid w:val="00165BE5"/>
    <w:rsid w:val="00175957"/>
    <w:rsid w:val="00175A42"/>
    <w:rsid w:val="00183854"/>
    <w:rsid w:val="001A68EC"/>
    <w:rsid w:val="001A73FC"/>
    <w:rsid w:val="001E1F56"/>
    <w:rsid w:val="001E2B14"/>
    <w:rsid w:val="001F5882"/>
    <w:rsid w:val="00221751"/>
    <w:rsid w:val="00223620"/>
    <w:rsid w:val="002476B8"/>
    <w:rsid w:val="00255893"/>
    <w:rsid w:val="002622DD"/>
    <w:rsid w:val="002641D2"/>
    <w:rsid w:val="002761DE"/>
    <w:rsid w:val="002A546A"/>
    <w:rsid w:val="002D0A58"/>
    <w:rsid w:val="002D25AF"/>
    <w:rsid w:val="002E4703"/>
    <w:rsid w:val="002E62A4"/>
    <w:rsid w:val="002F393D"/>
    <w:rsid w:val="002F400D"/>
    <w:rsid w:val="003014CD"/>
    <w:rsid w:val="003032BA"/>
    <w:rsid w:val="003136B4"/>
    <w:rsid w:val="00314ACE"/>
    <w:rsid w:val="00324039"/>
    <w:rsid w:val="0032421B"/>
    <w:rsid w:val="003311EC"/>
    <w:rsid w:val="00332CC9"/>
    <w:rsid w:val="00333C00"/>
    <w:rsid w:val="00336F97"/>
    <w:rsid w:val="00382162"/>
    <w:rsid w:val="00410ACB"/>
    <w:rsid w:val="004252D7"/>
    <w:rsid w:val="00465DF4"/>
    <w:rsid w:val="0047064C"/>
    <w:rsid w:val="004718E3"/>
    <w:rsid w:val="00492DAE"/>
    <w:rsid w:val="00495F4C"/>
    <w:rsid w:val="004A1826"/>
    <w:rsid w:val="004A188B"/>
    <w:rsid w:val="004D13C3"/>
    <w:rsid w:val="004E1A97"/>
    <w:rsid w:val="004E242D"/>
    <w:rsid w:val="004F4A13"/>
    <w:rsid w:val="00515788"/>
    <w:rsid w:val="0052085F"/>
    <w:rsid w:val="005469E5"/>
    <w:rsid w:val="00557D91"/>
    <w:rsid w:val="005700EA"/>
    <w:rsid w:val="0058768A"/>
    <w:rsid w:val="005A098D"/>
    <w:rsid w:val="005D19D3"/>
    <w:rsid w:val="005D5701"/>
    <w:rsid w:val="005E6216"/>
    <w:rsid w:val="005E7A19"/>
    <w:rsid w:val="005F2A44"/>
    <w:rsid w:val="005F6DC7"/>
    <w:rsid w:val="006003AA"/>
    <w:rsid w:val="00601772"/>
    <w:rsid w:val="00604CFE"/>
    <w:rsid w:val="0061115F"/>
    <w:rsid w:val="00612C32"/>
    <w:rsid w:val="00644AA1"/>
    <w:rsid w:val="00650888"/>
    <w:rsid w:val="00665296"/>
    <w:rsid w:val="006848F3"/>
    <w:rsid w:val="0069684C"/>
    <w:rsid w:val="006A474E"/>
    <w:rsid w:val="006B1322"/>
    <w:rsid w:val="006C7B36"/>
    <w:rsid w:val="006E113D"/>
    <w:rsid w:val="007126B5"/>
    <w:rsid w:val="00712B4A"/>
    <w:rsid w:val="00735DD0"/>
    <w:rsid w:val="007503E2"/>
    <w:rsid w:val="00753825"/>
    <w:rsid w:val="0078348B"/>
    <w:rsid w:val="00787C08"/>
    <w:rsid w:val="00793505"/>
    <w:rsid w:val="007B6A8B"/>
    <w:rsid w:val="007E09C2"/>
    <w:rsid w:val="007F5AA3"/>
    <w:rsid w:val="00801D5C"/>
    <w:rsid w:val="00802EEC"/>
    <w:rsid w:val="008279CC"/>
    <w:rsid w:val="008621D2"/>
    <w:rsid w:val="00867182"/>
    <w:rsid w:val="00893922"/>
    <w:rsid w:val="008E2708"/>
    <w:rsid w:val="00914448"/>
    <w:rsid w:val="009172E6"/>
    <w:rsid w:val="0092233B"/>
    <w:rsid w:val="009227AC"/>
    <w:rsid w:val="009334EE"/>
    <w:rsid w:val="0095147D"/>
    <w:rsid w:val="00951A80"/>
    <w:rsid w:val="00955D9B"/>
    <w:rsid w:val="009618AE"/>
    <w:rsid w:val="00967D31"/>
    <w:rsid w:val="00983061"/>
    <w:rsid w:val="00983E5E"/>
    <w:rsid w:val="00984A6B"/>
    <w:rsid w:val="0099414D"/>
    <w:rsid w:val="00994E3E"/>
    <w:rsid w:val="00996F46"/>
    <w:rsid w:val="009A0F5A"/>
    <w:rsid w:val="009A533C"/>
    <w:rsid w:val="009C0450"/>
    <w:rsid w:val="00A16162"/>
    <w:rsid w:val="00A209DB"/>
    <w:rsid w:val="00A252C8"/>
    <w:rsid w:val="00A302F5"/>
    <w:rsid w:val="00A419AE"/>
    <w:rsid w:val="00A4213C"/>
    <w:rsid w:val="00A5447B"/>
    <w:rsid w:val="00A70DAD"/>
    <w:rsid w:val="00AB276C"/>
    <w:rsid w:val="00AD14C2"/>
    <w:rsid w:val="00B25DDC"/>
    <w:rsid w:val="00B30BE0"/>
    <w:rsid w:val="00B36D99"/>
    <w:rsid w:val="00B4600E"/>
    <w:rsid w:val="00B46FD2"/>
    <w:rsid w:val="00B60267"/>
    <w:rsid w:val="00B72736"/>
    <w:rsid w:val="00B84C81"/>
    <w:rsid w:val="00B9049C"/>
    <w:rsid w:val="00B922EF"/>
    <w:rsid w:val="00B9566C"/>
    <w:rsid w:val="00BA0561"/>
    <w:rsid w:val="00BC3A00"/>
    <w:rsid w:val="00BD4DA3"/>
    <w:rsid w:val="00C00148"/>
    <w:rsid w:val="00C02045"/>
    <w:rsid w:val="00C30404"/>
    <w:rsid w:val="00C465BD"/>
    <w:rsid w:val="00C5012C"/>
    <w:rsid w:val="00C73C16"/>
    <w:rsid w:val="00C76806"/>
    <w:rsid w:val="00CA298B"/>
    <w:rsid w:val="00CB1FD7"/>
    <w:rsid w:val="00CB2D5B"/>
    <w:rsid w:val="00CD2956"/>
    <w:rsid w:val="00CD3079"/>
    <w:rsid w:val="00CD4CFB"/>
    <w:rsid w:val="00D225AA"/>
    <w:rsid w:val="00D65A86"/>
    <w:rsid w:val="00D84372"/>
    <w:rsid w:val="00DA2C2F"/>
    <w:rsid w:val="00DD7C5A"/>
    <w:rsid w:val="00E44833"/>
    <w:rsid w:val="00E57F72"/>
    <w:rsid w:val="00E629B9"/>
    <w:rsid w:val="00E7570F"/>
    <w:rsid w:val="00EA2D49"/>
    <w:rsid w:val="00EE49BA"/>
    <w:rsid w:val="00F36804"/>
    <w:rsid w:val="00F423BD"/>
    <w:rsid w:val="00F50458"/>
    <w:rsid w:val="00F506EC"/>
    <w:rsid w:val="00F534A6"/>
    <w:rsid w:val="00F75879"/>
    <w:rsid w:val="00F76404"/>
    <w:rsid w:val="00FB3643"/>
    <w:rsid w:val="00FC5C32"/>
    <w:rsid w:val="00FF595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B8CC"/>
  <w15:docId w15:val="{7767C65A-7E89-4792-B286-032836F9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header"/>
    <w:basedOn w:val="a"/>
    <w:link w:val="aa"/>
    <w:uiPriority w:val="99"/>
    <w:unhideWhenUsed/>
    <w:rsid w:val="007E09C2"/>
    <w:pPr>
      <w:tabs>
        <w:tab w:val="center" w:pos="4819"/>
        <w:tab w:val="right" w:pos="9639"/>
      </w:tabs>
      <w:spacing w:line="240" w:lineRule="auto"/>
    </w:pPr>
  </w:style>
  <w:style w:type="character" w:customStyle="1" w:styleId="aa">
    <w:name w:val="Верхній колонтитул Знак"/>
    <w:basedOn w:val="a0"/>
    <w:link w:val="a9"/>
    <w:uiPriority w:val="99"/>
    <w:rsid w:val="007E09C2"/>
  </w:style>
  <w:style w:type="paragraph" w:styleId="ab">
    <w:name w:val="footer"/>
    <w:basedOn w:val="a"/>
    <w:link w:val="ac"/>
    <w:uiPriority w:val="99"/>
    <w:unhideWhenUsed/>
    <w:rsid w:val="007E09C2"/>
    <w:pPr>
      <w:tabs>
        <w:tab w:val="center" w:pos="4819"/>
        <w:tab w:val="right" w:pos="9639"/>
      </w:tabs>
      <w:spacing w:line="240" w:lineRule="auto"/>
    </w:pPr>
  </w:style>
  <w:style w:type="character" w:customStyle="1" w:styleId="ac">
    <w:name w:val="Нижній колонтитул Знак"/>
    <w:basedOn w:val="a0"/>
    <w:link w:val="ab"/>
    <w:uiPriority w:val="99"/>
    <w:rsid w:val="007E09C2"/>
  </w:style>
  <w:style w:type="table" w:styleId="ad">
    <w:name w:val="Table Grid"/>
    <w:basedOn w:val="a1"/>
    <w:uiPriority w:val="39"/>
    <w:rsid w:val="007E09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1115F"/>
    <w:pPr>
      <w:spacing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61115F"/>
    <w:rPr>
      <w:rFonts w:ascii="Segoe UI" w:hAnsi="Segoe UI" w:cs="Segoe UI"/>
      <w:sz w:val="18"/>
      <w:szCs w:val="18"/>
    </w:rPr>
  </w:style>
  <w:style w:type="paragraph" w:customStyle="1" w:styleId="rvps2">
    <w:name w:val="rvps2"/>
    <w:basedOn w:val="a"/>
    <w:rsid w:val="0078348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semiHidden/>
    <w:unhideWhenUsed/>
    <w:rsid w:val="0078348B"/>
    <w:rPr>
      <w:color w:val="0000FF"/>
      <w:u w:val="single"/>
    </w:rPr>
  </w:style>
  <w:style w:type="paragraph" w:styleId="af1">
    <w:name w:val="annotation subject"/>
    <w:basedOn w:val="a6"/>
    <w:next w:val="a6"/>
    <w:link w:val="af2"/>
    <w:uiPriority w:val="99"/>
    <w:semiHidden/>
    <w:unhideWhenUsed/>
    <w:rsid w:val="00735DD0"/>
    <w:rPr>
      <w:b/>
      <w:bCs/>
    </w:rPr>
  </w:style>
  <w:style w:type="character" w:customStyle="1" w:styleId="af2">
    <w:name w:val="Тема примітки Знак"/>
    <w:basedOn w:val="a7"/>
    <w:link w:val="af1"/>
    <w:uiPriority w:val="99"/>
    <w:semiHidden/>
    <w:rsid w:val="00735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6516">
      <w:bodyDiv w:val="1"/>
      <w:marLeft w:val="0"/>
      <w:marRight w:val="0"/>
      <w:marTop w:val="0"/>
      <w:marBottom w:val="0"/>
      <w:divBdr>
        <w:top w:val="none" w:sz="0" w:space="0" w:color="auto"/>
        <w:left w:val="none" w:sz="0" w:space="0" w:color="auto"/>
        <w:bottom w:val="none" w:sz="0" w:space="0" w:color="auto"/>
        <w:right w:val="none" w:sz="0" w:space="0" w:color="auto"/>
      </w:divBdr>
    </w:div>
    <w:div w:id="388381754">
      <w:bodyDiv w:val="1"/>
      <w:marLeft w:val="0"/>
      <w:marRight w:val="0"/>
      <w:marTop w:val="0"/>
      <w:marBottom w:val="0"/>
      <w:divBdr>
        <w:top w:val="none" w:sz="0" w:space="0" w:color="auto"/>
        <w:left w:val="none" w:sz="0" w:space="0" w:color="auto"/>
        <w:bottom w:val="none" w:sz="0" w:space="0" w:color="auto"/>
        <w:right w:val="none" w:sz="0" w:space="0" w:color="auto"/>
      </w:divBdr>
      <w:divsChild>
        <w:div w:id="626279726">
          <w:marLeft w:val="0"/>
          <w:marRight w:val="0"/>
          <w:marTop w:val="0"/>
          <w:marBottom w:val="150"/>
          <w:divBdr>
            <w:top w:val="none" w:sz="0" w:space="0" w:color="auto"/>
            <w:left w:val="none" w:sz="0" w:space="0" w:color="auto"/>
            <w:bottom w:val="none" w:sz="0" w:space="0" w:color="auto"/>
            <w:right w:val="none" w:sz="0" w:space="0" w:color="auto"/>
          </w:divBdr>
        </w:div>
      </w:divsChild>
    </w:div>
    <w:div w:id="473373065">
      <w:bodyDiv w:val="1"/>
      <w:marLeft w:val="0"/>
      <w:marRight w:val="0"/>
      <w:marTop w:val="0"/>
      <w:marBottom w:val="0"/>
      <w:divBdr>
        <w:top w:val="none" w:sz="0" w:space="0" w:color="auto"/>
        <w:left w:val="none" w:sz="0" w:space="0" w:color="auto"/>
        <w:bottom w:val="none" w:sz="0" w:space="0" w:color="auto"/>
        <w:right w:val="none" w:sz="0" w:space="0" w:color="auto"/>
      </w:divBdr>
    </w:div>
    <w:div w:id="870730531">
      <w:bodyDiv w:val="1"/>
      <w:marLeft w:val="0"/>
      <w:marRight w:val="0"/>
      <w:marTop w:val="0"/>
      <w:marBottom w:val="0"/>
      <w:divBdr>
        <w:top w:val="none" w:sz="0" w:space="0" w:color="auto"/>
        <w:left w:val="none" w:sz="0" w:space="0" w:color="auto"/>
        <w:bottom w:val="none" w:sz="0" w:space="0" w:color="auto"/>
        <w:right w:val="none" w:sz="0" w:space="0" w:color="auto"/>
      </w:divBdr>
    </w:div>
    <w:div w:id="880941985">
      <w:bodyDiv w:val="1"/>
      <w:marLeft w:val="0"/>
      <w:marRight w:val="0"/>
      <w:marTop w:val="0"/>
      <w:marBottom w:val="0"/>
      <w:divBdr>
        <w:top w:val="none" w:sz="0" w:space="0" w:color="auto"/>
        <w:left w:val="none" w:sz="0" w:space="0" w:color="auto"/>
        <w:bottom w:val="none" w:sz="0" w:space="0" w:color="auto"/>
        <w:right w:val="none" w:sz="0" w:space="0" w:color="auto"/>
      </w:divBdr>
    </w:div>
    <w:div w:id="949748357">
      <w:bodyDiv w:val="1"/>
      <w:marLeft w:val="0"/>
      <w:marRight w:val="0"/>
      <w:marTop w:val="0"/>
      <w:marBottom w:val="0"/>
      <w:divBdr>
        <w:top w:val="none" w:sz="0" w:space="0" w:color="auto"/>
        <w:left w:val="none" w:sz="0" w:space="0" w:color="auto"/>
        <w:bottom w:val="none" w:sz="0" w:space="0" w:color="auto"/>
        <w:right w:val="none" w:sz="0" w:space="0" w:color="auto"/>
      </w:divBdr>
    </w:div>
    <w:div w:id="959871790">
      <w:bodyDiv w:val="1"/>
      <w:marLeft w:val="0"/>
      <w:marRight w:val="0"/>
      <w:marTop w:val="0"/>
      <w:marBottom w:val="0"/>
      <w:divBdr>
        <w:top w:val="none" w:sz="0" w:space="0" w:color="auto"/>
        <w:left w:val="none" w:sz="0" w:space="0" w:color="auto"/>
        <w:bottom w:val="none" w:sz="0" w:space="0" w:color="auto"/>
        <w:right w:val="none" w:sz="0" w:space="0" w:color="auto"/>
      </w:divBdr>
      <w:divsChild>
        <w:div w:id="1905219952">
          <w:marLeft w:val="0"/>
          <w:marRight w:val="0"/>
          <w:marTop w:val="0"/>
          <w:marBottom w:val="150"/>
          <w:divBdr>
            <w:top w:val="none" w:sz="0" w:space="0" w:color="auto"/>
            <w:left w:val="none" w:sz="0" w:space="0" w:color="auto"/>
            <w:bottom w:val="none" w:sz="0" w:space="0" w:color="auto"/>
            <w:right w:val="none" w:sz="0" w:space="0" w:color="auto"/>
          </w:divBdr>
        </w:div>
      </w:divsChild>
    </w:div>
    <w:div w:id="1101998624">
      <w:bodyDiv w:val="1"/>
      <w:marLeft w:val="0"/>
      <w:marRight w:val="0"/>
      <w:marTop w:val="0"/>
      <w:marBottom w:val="0"/>
      <w:divBdr>
        <w:top w:val="none" w:sz="0" w:space="0" w:color="auto"/>
        <w:left w:val="none" w:sz="0" w:space="0" w:color="auto"/>
        <w:bottom w:val="none" w:sz="0" w:space="0" w:color="auto"/>
        <w:right w:val="none" w:sz="0" w:space="0" w:color="auto"/>
      </w:divBdr>
    </w:div>
    <w:div w:id="1228147727">
      <w:bodyDiv w:val="1"/>
      <w:marLeft w:val="0"/>
      <w:marRight w:val="0"/>
      <w:marTop w:val="0"/>
      <w:marBottom w:val="0"/>
      <w:divBdr>
        <w:top w:val="none" w:sz="0" w:space="0" w:color="auto"/>
        <w:left w:val="none" w:sz="0" w:space="0" w:color="auto"/>
        <w:bottom w:val="none" w:sz="0" w:space="0" w:color="auto"/>
        <w:right w:val="none" w:sz="0" w:space="0" w:color="auto"/>
      </w:divBdr>
    </w:div>
    <w:div w:id="1680960224">
      <w:bodyDiv w:val="1"/>
      <w:marLeft w:val="0"/>
      <w:marRight w:val="0"/>
      <w:marTop w:val="0"/>
      <w:marBottom w:val="0"/>
      <w:divBdr>
        <w:top w:val="none" w:sz="0" w:space="0" w:color="auto"/>
        <w:left w:val="none" w:sz="0" w:space="0" w:color="auto"/>
        <w:bottom w:val="none" w:sz="0" w:space="0" w:color="auto"/>
        <w:right w:val="none" w:sz="0" w:space="0" w:color="auto"/>
      </w:divBdr>
    </w:div>
    <w:div w:id="193732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7-14" TargetMode="External"/><Relationship Id="rId13" Type="http://schemas.openxmlformats.org/officeDocument/2006/relationships/hyperlink" Target="https://zakon.rada.gov.ua/laws/show/2407-1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155-19" TargetMode="External"/><Relationship Id="rId12" Type="http://schemas.openxmlformats.org/officeDocument/2006/relationships/hyperlink" Target="https://zakon.rada.gov.ua/laws/show/2155-1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zakon.rada.gov.ua/laws/show/992-2018-%D0%BF" TargetMode="External"/><Relationship Id="rId11" Type="http://schemas.openxmlformats.org/officeDocument/2006/relationships/hyperlink" Target="https://zakon.rada.gov.ua/laws/show/992-2018-%D0%BF" TargetMode="External"/><Relationship Id="rId5" Type="http://schemas.openxmlformats.org/officeDocument/2006/relationships/endnotes" Target="endnotes.xml"/><Relationship Id="rId15" Type="http://schemas.openxmlformats.org/officeDocument/2006/relationships/hyperlink" Target="https://zakon.rada.gov.ua/laws/show/80/94-%D0%B2%D1%80" TargetMode="External"/><Relationship Id="rId10" Type="http://schemas.openxmlformats.org/officeDocument/2006/relationships/hyperlink" Target="https://zakon.rada.gov.ua/laws/show/80/94-%D0%B2%D1%8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124-19" TargetMode="External"/><Relationship Id="rId14" Type="http://schemas.openxmlformats.org/officeDocument/2006/relationships/hyperlink" Target="https://zakon.rada.gov.ua/laws/show/12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13589</Words>
  <Characters>7746</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User</cp:lastModifiedBy>
  <cp:revision>2</cp:revision>
  <dcterms:created xsi:type="dcterms:W3CDTF">2022-12-16T14:17:00Z</dcterms:created>
  <dcterms:modified xsi:type="dcterms:W3CDTF">2022-12-16T14:17:00Z</dcterms:modified>
</cp:coreProperties>
</file>