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22D7F" w14:textId="77777777" w:rsidR="00FF2E91" w:rsidRDefault="00DD1560">
      <w:pP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ПОЯСНЮВАЛЬНА ЗАПИСКА</w:t>
      </w:r>
    </w:p>
    <w:p w14:paraId="3D784338" w14:textId="77777777" w:rsidR="00FF2E91" w:rsidRDefault="00DD156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до проекту постанови Кабінету Міністрів України </w:t>
      </w:r>
    </w:p>
    <w:p w14:paraId="49B78C44" w14:textId="77777777" w:rsidR="00FF2E91" w:rsidRDefault="00DD156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«Деякі питання реалізації Закону України «Про особливості надання</w:t>
      </w:r>
    </w:p>
    <w:p w14:paraId="218CED23" w14:textId="77777777" w:rsidR="00FF2E91" w:rsidRDefault="00DD1560">
      <w:pPr>
        <w:spacing w:after="0" w:line="240" w:lineRule="auto"/>
        <w:jc w:val="center"/>
        <w:rPr>
          <w:rFonts w:ascii="Times New Roman" w:eastAsia="Times New Roman" w:hAnsi="Times New Roman" w:cs="Times New Roman"/>
          <w:b/>
          <w:strike/>
          <w:color w:val="000000"/>
          <w:sz w:val="28"/>
          <w:szCs w:val="28"/>
        </w:rPr>
      </w:pPr>
      <w:r>
        <w:rPr>
          <w:rFonts w:ascii="Times New Roman" w:eastAsia="Times New Roman" w:hAnsi="Times New Roman" w:cs="Times New Roman"/>
          <w:b/>
          <w:color w:val="000000"/>
          <w:sz w:val="28"/>
          <w:szCs w:val="28"/>
        </w:rPr>
        <w:t>публічних (електронних публічних) послуг»</w:t>
      </w:r>
    </w:p>
    <w:p w14:paraId="367228CA" w14:textId="77777777" w:rsidR="00FF2E91" w:rsidRDefault="00FF2E91">
      <w:pPr>
        <w:spacing w:after="120" w:line="240" w:lineRule="auto"/>
        <w:ind w:firstLine="709"/>
        <w:jc w:val="both"/>
        <w:rPr>
          <w:rFonts w:ascii="Times New Roman" w:eastAsia="Times New Roman" w:hAnsi="Times New Roman" w:cs="Times New Roman"/>
          <w:b/>
          <w:color w:val="000000"/>
          <w:sz w:val="28"/>
          <w:szCs w:val="28"/>
        </w:rPr>
      </w:pPr>
    </w:p>
    <w:p w14:paraId="54939563" w14:textId="77777777" w:rsidR="00FF2E91" w:rsidRDefault="00DD1560">
      <w:pPr>
        <w:spacing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Мета</w:t>
      </w:r>
    </w:p>
    <w:p w14:paraId="3CD6E629" w14:textId="77777777" w:rsidR="00FF2E91" w:rsidRDefault="00DD1560">
      <w:pPr>
        <w:spacing w:after="240" w:line="240" w:lineRule="auto"/>
        <w:ind w:firstLine="709"/>
        <w:jc w:val="both"/>
        <w:rPr>
          <w:rFonts w:ascii="Times New Roman" w:eastAsia="Times New Roman" w:hAnsi="Times New Roman" w:cs="Times New Roman"/>
          <w:color w:val="000000"/>
          <w:sz w:val="28"/>
          <w:szCs w:val="28"/>
        </w:rPr>
      </w:pPr>
      <w:bookmarkStart w:id="0" w:name="_heading=h.30j0zll" w:colFirst="0" w:colLast="0"/>
      <w:bookmarkEnd w:id="0"/>
      <w:r>
        <w:rPr>
          <w:rFonts w:ascii="Times New Roman" w:eastAsia="Times New Roman" w:hAnsi="Times New Roman" w:cs="Times New Roman"/>
          <w:color w:val="000000"/>
          <w:sz w:val="28"/>
          <w:szCs w:val="28"/>
        </w:rPr>
        <w:t xml:space="preserve">Проект постанови Кабінету Міністрів України «Деякі питання реалізації Закону України «Про особливості надання публічних (електронних публічних) послуг» (далі – 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розроблено з метою забезпечення реалізації Закону України «Про особливості надання публічних (електронних публічних) послуг», а також зміни форми подання заяв та документів для отримання публічних послуг з паперової в електронну.</w:t>
      </w:r>
    </w:p>
    <w:p w14:paraId="1B487BA7" w14:textId="77777777" w:rsidR="00FF2E91" w:rsidRDefault="00DD1560">
      <w:pPr>
        <w:spacing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Обґрунтування необхідності прийняття </w:t>
      </w:r>
      <w:proofErr w:type="spellStart"/>
      <w:r>
        <w:rPr>
          <w:rFonts w:ascii="Times New Roman" w:eastAsia="Times New Roman" w:hAnsi="Times New Roman" w:cs="Times New Roman"/>
          <w:b/>
          <w:color w:val="000000"/>
          <w:sz w:val="28"/>
          <w:szCs w:val="28"/>
        </w:rPr>
        <w:t>акта</w:t>
      </w:r>
      <w:proofErr w:type="spellEnd"/>
    </w:p>
    <w:p w14:paraId="46BC7774" w14:textId="30050793" w:rsidR="00FF2E91" w:rsidRDefault="00DD1560">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липня 2021 року Верховною Радою України було прийнято Закон України «Про особливості надання публічних (електронних публічних) послуг» (далі </w:t>
      </w:r>
      <w:r w:rsidR="001520B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Закон), який набрав чинності 07 листопада 2021 року.</w:t>
      </w:r>
    </w:p>
    <w:p w14:paraId="473F8969" w14:textId="77777777" w:rsidR="00FF2E91" w:rsidRDefault="00DD1560">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Законом </w:t>
      </w:r>
      <w:proofErr w:type="spellStart"/>
      <w:r>
        <w:rPr>
          <w:rFonts w:ascii="Times New Roman" w:eastAsia="Times New Roman" w:hAnsi="Times New Roman" w:cs="Times New Roman"/>
          <w:sz w:val="28"/>
          <w:szCs w:val="28"/>
        </w:rPr>
        <w:t>внесено</w:t>
      </w:r>
      <w:proofErr w:type="spellEnd"/>
      <w:r>
        <w:rPr>
          <w:rFonts w:ascii="Times New Roman" w:eastAsia="Times New Roman" w:hAnsi="Times New Roman" w:cs="Times New Roman"/>
          <w:sz w:val="28"/>
          <w:szCs w:val="28"/>
        </w:rPr>
        <w:t xml:space="preserve"> суттєві зміни в організацію надання публічних послуг та врегульовано питання щодо надання публічних послуг у електронній формі.</w:t>
      </w:r>
    </w:p>
    <w:p w14:paraId="6B876D0A" w14:textId="77777777" w:rsidR="00FF2E91" w:rsidRDefault="00DD1560">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відповідно до статті 9 Закону надання публічних (електронних публічних) послуг може здійснюватися без подання заяви (звернення, запиту) про надання публічної (електронної публічної) послуги у разі настання події, яка є підставою для надання такої послуги за ініціативою суб’єкта надання публічних (електронних публічних) послуг, та на підставі отриманого підтвердження від особи, яка підтвердила згоду на отримання такої послуги. Випадки надання таких послуг встановлюються законом або актом Кабінету Міністрів України.</w:t>
      </w:r>
    </w:p>
    <w:p w14:paraId="456F080D" w14:textId="77777777" w:rsidR="00FF2E91" w:rsidRDefault="00DD1560">
      <w:pPr>
        <w:shd w:val="clear" w:color="auto" w:fill="FFFFFF"/>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надання публічних (електронних публічних) послуг без подання заяви (звернення, запиту) про надання публічної (електронної публічної) послуги визначається Кабінетом Міністрів України.</w:t>
      </w:r>
    </w:p>
    <w:p w14:paraId="4F94B875" w14:textId="77777777" w:rsidR="00FF2E91" w:rsidRDefault="00DD1560">
      <w:pPr>
        <w:shd w:val="clear" w:color="auto" w:fill="FFFFFF"/>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зі статтею 12 Закону порядок надання електронних публічних послуг, публічні послуги, що надаються на підставі заяви (звернення, запиту), поданої виключно в паперовій формі, публічні послуги, результати надання яких оформлюються виключно в паперовій формі, визначаються Кабінетом Міністрів України.</w:t>
      </w:r>
    </w:p>
    <w:p w14:paraId="17754343" w14:textId="77777777" w:rsidR="00FF2E91" w:rsidRDefault="00DD1560">
      <w:pPr>
        <w:shd w:val="clear" w:color="auto" w:fill="FFFFFF"/>
        <w:spacing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електронних публічних послуг, що надаються в автоматичному режимі, визначається Кабінетом Міністрів України.</w:t>
      </w:r>
    </w:p>
    <w:p w14:paraId="08A22441" w14:textId="77777777" w:rsidR="00FF2E91" w:rsidRDefault="00DD1560">
      <w:pPr>
        <w:shd w:val="clear" w:color="auto" w:fill="FFFFFF"/>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Перелік випадків, у яких суб’єкт надання публічних (електронних публічних) послуг може надавати електронні публічні послуги за замовчуванням, встановлюється Кабінетом Міністрів України.</w:t>
      </w:r>
    </w:p>
    <w:p w14:paraId="4F558CF5" w14:textId="003E1E16" w:rsidR="00FF2E91" w:rsidRDefault="00DD1560">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проект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розроблено на виконання статей 9, 12 Закону України «Про особливості надання публічних (електронних публічних) послуг», а також на виконання доручення Прем’єр-мініс</w:t>
      </w:r>
      <w:bookmarkStart w:id="1" w:name="_GoBack"/>
      <w:bookmarkEnd w:id="1"/>
      <w:r>
        <w:rPr>
          <w:rFonts w:ascii="Times New Roman" w:eastAsia="Times New Roman" w:hAnsi="Times New Roman" w:cs="Times New Roman"/>
          <w:sz w:val="28"/>
          <w:szCs w:val="28"/>
        </w:rPr>
        <w:t>тра України від 16 серпня 2021 року № 37823/1/1-21 до цього Закону та з метою створення додаткових правових засад для зміни форми подання заяв та документів для отримання публічних послуг з паперової в електронну.</w:t>
      </w:r>
    </w:p>
    <w:p w14:paraId="200D6773" w14:textId="77777777" w:rsidR="00FF2E91" w:rsidRDefault="00FF2E91">
      <w:pPr>
        <w:spacing w:after="0" w:line="240" w:lineRule="auto"/>
        <w:ind w:firstLine="709"/>
        <w:jc w:val="both"/>
        <w:rPr>
          <w:rFonts w:ascii="Times New Roman" w:eastAsia="Times New Roman" w:hAnsi="Times New Roman" w:cs="Times New Roman"/>
          <w:sz w:val="28"/>
          <w:szCs w:val="28"/>
        </w:rPr>
      </w:pPr>
    </w:p>
    <w:p w14:paraId="3D467574" w14:textId="77777777" w:rsidR="00FF2E91" w:rsidRDefault="00DD1560">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Основні положення проекту </w:t>
      </w:r>
      <w:proofErr w:type="spellStart"/>
      <w:r>
        <w:rPr>
          <w:rFonts w:ascii="Times New Roman" w:eastAsia="Times New Roman" w:hAnsi="Times New Roman" w:cs="Times New Roman"/>
          <w:b/>
          <w:color w:val="000000"/>
          <w:sz w:val="28"/>
          <w:szCs w:val="28"/>
        </w:rPr>
        <w:t>акта</w:t>
      </w:r>
      <w:proofErr w:type="spellEnd"/>
    </w:p>
    <w:p w14:paraId="5314B257" w14:textId="77777777" w:rsidR="00FF2E91" w:rsidRDefault="00DD156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Проектом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пропонується затвердити:</w:t>
      </w:r>
    </w:p>
    <w:p w14:paraId="5C0A8D38" w14:textId="4B077798" w:rsidR="00FF2E91" w:rsidRDefault="009E4FE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DD1560">
        <w:rPr>
          <w:rFonts w:ascii="Times New Roman" w:eastAsia="Times New Roman" w:hAnsi="Times New Roman" w:cs="Times New Roman"/>
          <w:color w:val="000000"/>
          <w:sz w:val="28"/>
          <w:szCs w:val="28"/>
        </w:rPr>
        <w:t>ерелік публічних послуг, що надаються на підставі заяви (звернення, запиту), поданої виключно в паперовій формі;</w:t>
      </w:r>
    </w:p>
    <w:p w14:paraId="1BD8807A" w14:textId="737615F3" w:rsidR="00FF2E91" w:rsidRDefault="009E4FE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DD1560">
        <w:rPr>
          <w:rFonts w:ascii="Times New Roman" w:eastAsia="Times New Roman" w:hAnsi="Times New Roman" w:cs="Times New Roman"/>
          <w:color w:val="000000"/>
          <w:sz w:val="28"/>
          <w:szCs w:val="28"/>
        </w:rPr>
        <w:t>ерелік публічних послуг, результати надання яких оформлюються виключно в паперовій формі;</w:t>
      </w:r>
    </w:p>
    <w:p w14:paraId="5BC587B5" w14:textId="4FD2D8C7" w:rsidR="00FF2E91" w:rsidRDefault="009E4FE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DD1560">
        <w:rPr>
          <w:rFonts w:ascii="Times New Roman" w:eastAsia="Times New Roman" w:hAnsi="Times New Roman" w:cs="Times New Roman"/>
          <w:color w:val="000000"/>
          <w:sz w:val="28"/>
          <w:szCs w:val="28"/>
        </w:rPr>
        <w:t>ерелік електронних публічних послуг, що надаються в автоматичному режимі;</w:t>
      </w:r>
    </w:p>
    <w:p w14:paraId="43F41E38" w14:textId="4E688F26" w:rsidR="00FF2E91" w:rsidRDefault="009E4FE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DD1560">
        <w:rPr>
          <w:rFonts w:ascii="Times New Roman" w:eastAsia="Times New Roman" w:hAnsi="Times New Roman" w:cs="Times New Roman"/>
          <w:color w:val="000000"/>
          <w:sz w:val="28"/>
          <w:szCs w:val="28"/>
        </w:rPr>
        <w:t>ерелік випадків надання публічних (електронних публічних) послуг без подання заяви (звернення, запиту) про надання публічної (електронної публічної) послуги;</w:t>
      </w:r>
    </w:p>
    <w:p w14:paraId="073820AA" w14:textId="27D58796" w:rsidR="00FF2E91" w:rsidRDefault="009E4FE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DD1560">
        <w:rPr>
          <w:rFonts w:ascii="Times New Roman" w:eastAsia="Times New Roman" w:hAnsi="Times New Roman" w:cs="Times New Roman"/>
          <w:color w:val="000000"/>
          <w:sz w:val="28"/>
          <w:szCs w:val="28"/>
        </w:rPr>
        <w:t>ерелік випадків, у яких суб’єкт надання публічних (електронних публічних) послуг може надавати електронні публічні послуги за замовчуванням.</w:t>
      </w:r>
    </w:p>
    <w:p w14:paraId="0F49D6D4" w14:textId="77777777" w:rsidR="00FF2E91" w:rsidRDefault="00DD1560">
      <w:pPr>
        <w:spacing w:before="240"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Правові аспекти</w:t>
      </w:r>
    </w:p>
    <w:p w14:paraId="1EC337EB" w14:textId="77777777" w:rsidR="00FF2E91" w:rsidRDefault="00DD1560">
      <w:pPr>
        <w:spacing w:before="24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 України «Про особливості надання публічних (електронних публічних) послуг».</w:t>
      </w:r>
    </w:p>
    <w:p w14:paraId="4244EEFD" w14:textId="77777777" w:rsidR="00FF2E91" w:rsidRDefault="00DD1560">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 Фінансово-економічне обґрунтування</w:t>
      </w:r>
    </w:p>
    <w:p w14:paraId="699137B9" w14:textId="77777777" w:rsidR="00FF2E91" w:rsidRDefault="00DD1560">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Реалізація проекту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потребуватиме матеріальних та інших витрат.</w:t>
      </w:r>
    </w:p>
    <w:p w14:paraId="0313AFEB" w14:textId="77777777" w:rsidR="00FF2E91" w:rsidRDefault="00DD1560">
      <w:pPr>
        <w:spacing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Позиція заінтересованих сторін</w:t>
      </w:r>
    </w:p>
    <w:p w14:paraId="25507994" w14:textId="77777777" w:rsidR="00FF2E91" w:rsidRDefault="00DD156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03 листопада 2010 року № 996 «Про забезпечення участі громадськості у формуванні та реалізації державної політики». </w:t>
      </w:r>
    </w:p>
    <w:p w14:paraId="1B54E6E1" w14:textId="77777777" w:rsidR="00FF2E91" w:rsidRDefault="00DD156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p>
    <w:p w14:paraId="232A147D" w14:textId="77777777" w:rsidR="00FF2E91" w:rsidRDefault="00DD1560">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Проект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не стосується сфери наукової та науково-технічної діяльності.</w:t>
      </w:r>
    </w:p>
    <w:p w14:paraId="2060D594" w14:textId="77777777" w:rsidR="00FF2E91" w:rsidRDefault="00DD1560">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Оцінка відповідності</w:t>
      </w:r>
    </w:p>
    <w:p w14:paraId="3DEE6442" w14:textId="77777777" w:rsidR="00FF2E91" w:rsidRDefault="00DD156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проекті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відсутні положення, що стосуються зобов’язань України у сфері європейської інтеграції, прав та свобод, гарантованих Конвенцією про захист прав людини і основоположних свобод, які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 стосуються інших ризиків та обмежень, які можуть вплинути під час реалізації проекту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w:t>
      </w:r>
    </w:p>
    <w:p w14:paraId="7D891B7A" w14:textId="77777777" w:rsidR="00FF2E91" w:rsidRDefault="00DD1560">
      <w:pPr>
        <w:spacing w:after="240" w:line="240" w:lineRule="auto"/>
        <w:ind w:firstLine="709"/>
        <w:jc w:val="both"/>
        <w:rPr>
          <w:rFonts w:ascii="Times New Roman" w:eastAsia="Times New Roman" w:hAnsi="Times New Roman" w:cs="Times New Roman"/>
          <w:color w:val="000000"/>
          <w:sz w:val="28"/>
          <w:szCs w:val="28"/>
        </w:rPr>
      </w:pPr>
      <w:bookmarkStart w:id="2" w:name="_heading=h.1fob9te" w:colFirst="0" w:colLast="0"/>
      <w:bookmarkEnd w:id="2"/>
      <w:r>
        <w:rPr>
          <w:rFonts w:ascii="Times New Roman" w:eastAsia="Times New Roman" w:hAnsi="Times New Roman" w:cs="Times New Roman"/>
          <w:color w:val="000000"/>
          <w:sz w:val="28"/>
          <w:szCs w:val="28"/>
        </w:rPr>
        <w:t xml:space="preserve">Громадська антикорупційна, громадська </w:t>
      </w:r>
      <w:proofErr w:type="spellStart"/>
      <w:r>
        <w:rPr>
          <w:rFonts w:ascii="Times New Roman" w:eastAsia="Times New Roman" w:hAnsi="Times New Roman" w:cs="Times New Roman"/>
          <w:color w:val="000000"/>
          <w:sz w:val="28"/>
          <w:szCs w:val="28"/>
        </w:rPr>
        <w:t>антидискримінаційна</w:t>
      </w:r>
      <w:proofErr w:type="spellEnd"/>
      <w:r>
        <w:rPr>
          <w:rFonts w:ascii="Times New Roman" w:eastAsia="Times New Roman" w:hAnsi="Times New Roman" w:cs="Times New Roman"/>
          <w:color w:val="000000"/>
          <w:sz w:val="28"/>
          <w:szCs w:val="28"/>
        </w:rPr>
        <w:t xml:space="preserve"> та громадська </w:t>
      </w:r>
      <w:proofErr w:type="spellStart"/>
      <w:r>
        <w:rPr>
          <w:rFonts w:ascii="Times New Roman" w:eastAsia="Times New Roman" w:hAnsi="Times New Roman" w:cs="Times New Roman"/>
          <w:color w:val="000000"/>
          <w:sz w:val="28"/>
          <w:szCs w:val="28"/>
        </w:rPr>
        <w:t>гендерно</w:t>
      </w:r>
      <w:proofErr w:type="spellEnd"/>
      <w:r>
        <w:rPr>
          <w:rFonts w:ascii="Times New Roman" w:eastAsia="Times New Roman" w:hAnsi="Times New Roman" w:cs="Times New Roman"/>
          <w:color w:val="000000"/>
          <w:sz w:val="28"/>
          <w:szCs w:val="28"/>
        </w:rPr>
        <w:t>-правова експертизи не проводились.</w:t>
      </w:r>
    </w:p>
    <w:p w14:paraId="0FF01FEB" w14:textId="77777777" w:rsidR="00FF2E91" w:rsidRDefault="00DD1560">
      <w:pPr>
        <w:spacing w:before="24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 Прогноз результатів</w:t>
      </w:r>
    </w:p>
    <w:p w14:paraId="0A0532F2" w14:textId="77777777" w:rsidR="00FF2E91" w:rsidRDefault="00DD1560">
      <w:pPr>
        <w:tabs>
          <w:tab w:val="left" w:pos="1134"/>
        </w:tabs>
        <w:spacing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Реалізація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сприятиме реалізації Закону України «Про особливості надання публічних (електронних публічних) послуг», а також створить додаткові правові засади для зміни форми подання заяв та документів для отримання публічних послуг з паперової в електронну.</w:t>
      </w:r>
    </w:p>
    <w:p w14:paraId="048026B7" w14:textId="77777777" w:rsidR="00FF2E91" w:rsidRDefault="00FF2E91">
      <w:pPr>
        <w:tabs>
          <w:tab w:val="left" w:pos="1134"/>
        </w:tabs>
        <w:spacing w:after="120" w:line="240" w:lineRule="auto"/>
        <w:ind w:firstLine="709"/>
        <w:jc w:val="both"/>
        <w:rPr>
          <w:rFonts w:ascii="Times New Roman" w:eastAsia="Times New Roman" w:hAnsi="Times New Roman" w:cs="Times New Roman"/>
          <w:color w:val="000000"/>
          <w:sz w:val="28"/>
          <w:szCs w:val="28"/>
        </w:rPr>
      </w:pPr>
    </w:p>
    <w:tbl>
      <w:tblPr>
        <w:tblStyle w:val="a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898"/>
        <w:gridCol w:w="4103"/>
      </w:tblGrid>
      <w:tr w:rsidR="00FF2E91" w14:paraId="6F7A8889" w14:textId="77777777">
        <w:tc>
          <w:tcPr>
            <w:tcW w:w="2626" w:type="dxa"/>
            <w:shd w:val="clear" w:color="auto" w:fill="FFFFFF"/>
          </w:tcPr>
          <w:p w14:paraId="4359E1D1" w14:textId="77777777" w:rsidR="00FF2E91" w:rsidRDefault="00DD1560">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Заінтересована сторона</w:t>
            </w:r>
          </w:p>
        </w:tc>
        <w:tc>
          <w:tcPr>
            <w:tcW w:w="2898" w:type="dxa"/>
            <w:shd w:val="clear" w:color="auto" w:fill="FFFFFF"/>
          </w:tcPr>
          <w:p w14:paraId="6A38F6A0" w14:textId="77777777" w:rsidR="00FF2E91" w:rsidRDefault="00DD1560">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Вплив реалізації </w:t>
            </w:r>
            <w:proofErr w:type="spellStart"/>
            <w:r>
              <w:rPr>
                <w:rFonts w:ascii="Times New Roman" w:eastAsia="Times New Roman" w:hAnsi="Times New Roman" w:cs="Times New Roman"/>
                <w:b/>
                <w:color w:val="000000"/>
                <w:sz w:val="24"/>
                <w:szCs w:val="24"/>
              </w:rPr>
              <w:t>акта</w:t>
            </w:r>
            <w:proofErr w:type="spellEnd"/>
            <w:r>
              <w:rPr>
                <w:rFonts w:ascii="Times New Roman" w:eastAsia="Times New Roman" w:hAnsi="Times New Roman" w:cs="Times New Roman"/>
                <w:b/>
                <w:color w:val="000000"/>
                <w:sz w:val="24"/>
                <w:szCs w:val="24"/>
              </w:rPr>
              <w:t xml:space="preserve"> на заінтересовану сторону</w:t>
            </w:r>
          </w:p>
        </w:tc>
        <w:tc>
          <w:tcPr>
            <w:tcW w:w="4103" w:type="dxa"/>
            <w:shd w:val="clear" w:color="auto" w:fill="FFFFFF"/>
          </w:tcPr>
          <w:p w14:paraId="265A40F4" w14:textId="77777777" w:rsidR="00FF2E91" w:rsidRDefault="00DD1560">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Пояснення очікуваного впливу</w:t>
            </w:r>
          </w:p>
        </w:tc>
      </w:tr>
      <w:tr w:rsidR="00FF2E91" w14:paraId="469A49DA" w14:textId="77777777">
        <w:tc>
          <w:tcPr>
            <w:tcW w:w="2626" w:type="dxa"/>
            <w:shd w:val="clear" w:color="auto" w:fill="FFFFFF"/>
          </w:tcPr>
          <w:p w14:paraId="4AD4DCF1" w14:textId="77777777" w:rsidR="00FF2E91" w:rsidRDefault="00DD1560">
            <w:pPr>
              <w:tabs>
                <w:tab w:val="left" w:pos="411"/>
              </w:tabs>
              <w:spacing w:after="120" w:line="240" w:lineRule="auto"/>
              <w:ind w:righ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Населення України</w:t>
            </w:r>
          </w:p>
        </w:tc>
        <w:tc>
          <w:tcPr>
            <w:tcW w:w="2898" w:type="dxa"/>
            <w:shd w:val="clear" w:color="auto" w:fill="FFFFFF"/>
          </w:tcPr>
          <w:p w14:paraId="632CD60D" w14:textId="77777777" w:rsidR="00FF2E91" w:rsidRDefault="00DD1560">
            <w:pPr>
              <w:spacing w:after="120" w:line="240" w:lineRule="auto"/>
              <w:ind w:firstLine="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Позитивний</w:t>
            </w:r>
          </w:p>
        </w:tc>
        <w:tc>
          <w:tcPr>
            <w:tcW w:w="4103" w:type="dxa"/>
            <w:shd w:val="clear" w:color="auto" w:fill="FFFFFF"/>
          </w:tcPr>
          <w:p w14:paraId="4A1C9C05" w14:textId="77777777" w:rsidR="00FF2E91" w:rsidRDefault="00DD1560">
            <w:pPr>
              <w:spacing w:after="120" w:line="240" w:lineRule="auto"/>
              <w:ind w:left="117" w:right="114"/>
              <w:jc w:val="both"/>
              <w:rPr>
                <w:rFonts w:ascii="Times New Roman" w:eastAsia="Times New Roman" w:hAnsi="Times New Roman" w:cs="Times New Roman"/>
                <w:color w:val="000000"/>
                <w:sz w:val="24"/>
                <w:szCs w:val="24"/>
              </w:rPr>
            </w:pPr>
            <w:bookmarkStart w:id="3" w:name="_heading=h.gjdgxs" w:colFirst="0" w:colLast="0"/>
            <w:bookmarkEnd w:id="3"/>
            <w:r>
              <w:rPr>
                <w:rFonts w:ascii="Times New Roman" w:eastAsia="Times New Roman" w:hAnsi="Times New Roman" w:cs="Times New Roman"/>
                <w:sz w:val="24"/>
                <w:szCs w:val="24"/>
              </w:rPr>
              <w:t>Будуть визначені правові засади зміни форми подання заяв та документів для отримання публічних послуг з паперової в електронну</w:t>
            </w:r>
          </w:p>
        </w:tc>
      </w:tr>
      <w:tr w:rsidR="00FF2E91" w14:paraId="5BE4744C" w14:textId="77777777">
        <w:tc>
          <w:tcPr>
            <w:tcW w:w="2626" w:type="dxa"/>
          </w:tcPr>
          <w:p w14:paraId="28100876" w14:textId="77777777" w:rsidR="00FF2E91" w:rsidRDefault="00DD1560">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Держава</w:t>
            </w:r>
          </w:p>
          <w:p w14:paraId="0A216FA9" w14:textId="77777777" w:rsidR="00FF2E91" w:rsidRDefault="00FF2E9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tc>
        <w:tc>
          <w:tcPr>
            <w:tcW w:w="2898" w:type="dxa"/>
          </w:tcPr>
          <w:p w14:paraId="3FC5633D" w14:textId="77777777" w:rsidR="00FF2E91" w:rsidRDefault="00DD1560">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Позитивний</w:t>
            </w:r>
          </w:p>
        </w:tc>
        <w:tc>
          <w:tcPr>
            <w:tcW w:w="4103" w:type="dxa"/>
          </w:tcPr>
          <w:p w14:paraId="127CE185" w14:textId="77777777" w:rsidR="00FF2E91" w:rsidRDefault="00DD1560">
            <w:pPr>
              <w:pBdr>
                <w:top w:val="nil"/>
                <w:left w:val="nil"/>
                <w:bottom w:val="nil"/>
                <w:right w:val="nil"/>
                <w:between w:val="nil"/>
              </w:pBdr>
              <w:spacing w:after="0" w:line="240" w:lineRule="auto"/>
              <w:ind w:left="81" w:right="13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Будуть затверджені переліки публічних послуг, що сприятиме реалізації Закону України «Про особливості надання публічних (електронних публічних) послуг»</w:t>
            </w:r>
          </w:p>
        </w:tc>
      </w:tr>
    </w:tbl>
    <w:p w14:paraId="664E5E4D" w14:textId="77777777" w:rsidR="00FF2E91" w:rsidRDefault="00FF2E91">
      <w:pPr>
        <w:spacing w:after="120" w:line="240" w:lineRule="auto"/>
        <w:ind w:firstLine="709"/>
        <w:jc w:val="both"/>
        <w:rPr>
          <w:rFonts w:ascii="Times New Roman" w:eastAsia="Times New Roman" w:hAnsi="Times New Roman" w:cs="Times New Roman"/>
          <w:color w:val="000000"/>
          <w:sz w:val="28"/>
          <w:szCs w:val="28"/>
        </w:rPr>
      </w:pPr>
    </w:p>
    <w:p w14:paraId="67848FE1" w14:textId="77777777" w:rsidR="00FF2E91" w:rsidRDefault="00DD1560">
      <w:pPr>
        <w:tabs>
          <w:tab w:val="right" w:pos="9498"/>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Віце-прем’єр-міністр України – Міністр</w:t>
      </w:r>
    </w:p>
    <w:p w14:paraId="639097C2" w14:textId="77777777" w:rsidR="00FF2E91" w:rsidRDefault="00DD1560">
      <w:pPr>
        <w:tabs>
          <w:tab w:val="right" w:pos="9498"/>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цифрової трансформації України</w:t>
      </w:r>
      <w:r>
        <w:rPr>
          <w:rFonts w:ascii="Times New Roman" w:eastAsia="Times New Roman" w:hAnsi="Times New Roman" w:cs="Times New Roman"/>
          <w:b/>
          <w:color w:val="000000"/>
          <w:sz w:val="28"/>
          <w:szCs w:val="28"/>
        </w:rPr>
        <w:tab/>
        <w:t>Михайло ФЕДОРОВ</w:t>
      </w:r>
    </w:p>
    <w:p w14:paraId="3D1AD255" w14:textId="77777777" w:rsidR="00FF2E91" w:rsidRDefault="00FF2E91">
      <w:pPr>
        <w:spacing w:after="120" w:line="240" w:lineRule="auto"/>
        <w:jc w:val="both"/>
        <w:rPr>
          <w:rFonts w:ascii="Times New Roman" w:eastAsia="Times New Roman" w:hAnsi="Times New Roman" w:cs="Times New Roman"/>
          <w:color w:val="000000"/>
          <w:sz w:val="28"/>
          <w:szCs w:val="28"/>
        </w:rPr>
      </w:pPr>
    </w:p>
    <w:p w14:paraId="4903CD16" w14:textId="77777777" w:rsidR="00FF2E91" w:rsidRDefault="00DD1560">
      <w:pPr>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  ___________ 2022 р.</w:t>
      </w:r>
    </w:p>
    <w:sectPr w:rsidR="00FF2E91">
      <w:headerReference w:type="default" r:id="rId7"/>
      <w:footerReference w:type="first" r:id="rId8"/>
      <w:pgSz w:w="11906" w:h="16838"/>
      <w:pgMar w:top="1134" w:right="707" w:bottom="1276" w:left="1701"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CC737" w14:textId="77777777" w:rsidR="00CB09B2" w:rsidRDefault="00CB09B2">
      <w:pPr>
        <w:spacing w:after="0" w:line="240" w:lineRule="auto"/>
      </w:pPr>
      <w:r>
        <w:separator/>
      </w:r>
    </w:p>
  </w:endnote>
  <w:endnote w:type="continuationSeparator" w:id="0">
    <w:p w14:paraId="773AB652" w14:textId="77777777" w:rsidR="00CB09B2" w:rsidRDefault="00CB0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916AB"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75E767C6"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498505F9"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0F4302CB"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18CED75A"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5228549C"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7042D85C"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4F732CA5"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10848D16"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482541FC"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586134D7" w14:textId="77777777" w:rsidR="00FF2E91" w:rsidRDefault="00FF2E91">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2E143" w14:textId="77777777" w:rsidR="00CB09B2" w:rsidRDefault="00CB09B2">
      <w:pPr>
        <w:spacing w:after="0" w:line="240" w:lineRule="auto"/>
      </w:pPr>
      <w:r>
        <w:separator/>
      </w:r>
    </w:p>
  </w:footnote>
  <w:footnote w:type="continuationSeparator" w:id="0">
    <w:p w14:paraId="00196412" w14:textId="77777777" w:rsidR="00CB09B2" w:rsidRDefault="00CB0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18FC7" w14:textId="77777777" w:rsidR="00FF2E91" w:rsidRDefault="00DD156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9E4FEF">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91"/>
    <w:rsid w:val="001520B9"/>
    <w:rsid w:val="00362BA4"/>
    <w:rsid w:val="009E4FEF"/>
    <w:rsid w:val="00CB09B2"/>
    <w:rsid w:val="00DD1560"/>
    <w:rsid w:val="00FF2E9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8D37"/>
  <w15:docId w15:val="{BF414081-3CCE-49BF-AC5F-BE350A50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4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3E65EB"/>
    <w:pPr>
      <w:spacing w:before="100" w:beforeAutospacing="1" w:after="100" w:afterAutospacing="1" w:line="240" w:lineRule="auto"/>
      <w:outlineLvl w:val="2"/>
    </w:pPr>
    <w:rPr>
      <w:rFonts w:ascii="Calibri Light" w:eastAsia="Times New Roman" w:hAnsi="Calibri Light" w:cs="Times New Roman"/>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3730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3018"/>
  </w:style>
  <w:style w:type="paragraph" w:styleId="a6">
    <w:name w:val="footer"/>
    <w:basedOn w:val="a"/>
    <w:link w:val="a7"/>
    <w:uiPriority w:val="99"/>
    <w:unhideWhenUsed/>
    <w:rsid w:val="003730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3018"/>
  </w:style>
  <w:style w:type="paragraph" w:styleId="20">
    <w:name w:val="Body Text Indent 2"/>
    <w:basedOn w:val="a"/>
    <w:link w:val="21"/>
    <w:uiPriority w:val="99"/>
    <w:semiHidden/>
    <w:unhideWhenUsed/>
    <w:rsid w:val="00ED1149"/>
    <w:pPr>
      <w:spacing w:after="120" w:line="240" w:lineRule="auto"/>
      <w:ind w:firstLine="709"/>
      <w:jc w:val="both"/>
    </w:pPr>
    <w:rPr>
      <w:rFonts w:ascii="Times New Roman" w:eastAsia="Times New Roman" w:hAnsi="Times New Roman" w:cs="Times New Roman"/>
      <w:i/>
      <w:sz w:val="28"/>
      <w:szCs w:val="28"/>
      <w:lang w:eastAsia="ru-RU"/>
    </w:rPr>
  </w:style>
  <w:style w:type="character" w:customStyle="1" w:styleId="21">
    <w:name w:val="Основной текст с отступом 2 Знак"/>
    <w:basedOn w:val="a0"/>
    <w:link w:val="20"/>
    <w:uiPriority w:val="99"/>
    <w:semiHidden/>
    <w:rsid w:val="00ED1149"/>
    <w:rPr>
      <w:rFonts w:ascii="Times New Roman" w:eastAsia="Times New Roman" w:hAnsi="Times New Roman" w:cs="Times New Roman"/>
      <w:i/>
      <w:sz w:val="28"/>
      <w:szCs w:val="28"/>
      <w:lang w:val="uk-UA" w:eastAsia="ru-RU"/>
    </w:rPr>
  </w:style>
  <w:style w:type="character" w:styleId="a8">
    <w:name w:val="Strong"/>
    <w:basedOn w:val="a0"/>
    <w:uiPriority w:val="22"/>
    <w:qFormat/>
    <w:rsid w:val="00ED1149"/>
    <w:rPr>
      <w:b/>
      <w:bCs/>
    </w:rPr>
  </w:style>
  <w:style w:type="paragraph" w:styleId="a9">
    <w:name w:val="Balloon Text"/>
    <w:basedOn w:val="a"/>
    <w:link w:val="aa"/>
    <w:uiPriority w:val="99"/>
    <w:semiHidden/>
    <w:unhideWhenUsed/>
    <w:rsid w:val="00244A51"/>
    <w:pPr>
      <w:spacing w:after="0" w:line="240" w:lineRule="auto"/>
    </w:pPr>
    <w:rPr>
      <w:rFonts w:ascii="Times New Roman" w:hAnsi="Times New Roman" w:cs="Times New Roman"/>
      <w:sz w:val="18"/>
      <w:szCs w:val="18"/>
    </w:rPr>
  </w:style>
  <w:style w:type="character" w:customStyle="1" w:styleId="aa">
    <w:name w:val="Текст выноски Знак"/>
    <w:basedOn w:val="a0"/>
    <w:link w:val="a9"/>
    <w:uiPriority w:val="99"/>
    <w:semiHidden/>
    <w:rsid w:val="00244A51"/>
    <w:rPr>
      <w:rFonts w:ascii="Times New Roman" w:hAnsi="Times New Roman" w:cs="Times New Roman"/>
      <w:sz w:val="18"/>
      <w:szCs w:val="18"/>
    </w:rPr>
  </w:style>
  <w:style w:type="table" w:styleId="ab">
    <w:name w:val="Table Grid"/>
    <w:basedOn w:val="a1"/>
    <w:uiPriority w:val="39"/>
    <w:rsid w:val="00386803"/>
    <w:pPr>
      <w:spacing w:after="0" w:line="240" w:lineRule="auto"/>
    </w:pPr>
    <w:rPr>
      <w:color w:val="00000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386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386803"/>
  </w:style>
  <w:style w:type="character" w:customStyle="1" w:styleId="rvts0">
    <w:name w:val="rvts0"/>
    <w:basedOn w:val="a0"/>
    <w:rsid w:val="00300889"/>
  </w:style>
  <w:style w:type="character" w:customStyle="1" w:styleId="30">
    <w:name w:val="Заголовок 3 Знак"/>
    <w:basedOn w:val="a0"/>
    <w:link w:val="3"/>
    <w:uiPriority w:val="9"/>
    <w:rsid w:val="003E65EB"/>
    <w:rPr>
      <w:rFonts w:ascii="Calibri Light" w:eastAsia="Times New Roman" w:hAnsi="Calibri Light" w:cs="Times New Roman"/>
      <w:color w:val="1F4D78"/>
      <w:sz w:val="24"/>
      <w:szCs w:val="24"/>
      <w:lang w:val="x-none" w:eastAsia="x-none"/>
    </w:rPr>
  </w:style>
  <w:style w:type="paragraph" w:styleId="ac">
    <w:name w:val="Normal (Web)"/>
    <w:basedOn w:val="a"/>
    <w:uiPriority w:val="99"/>
    <w:semiHidden/>
    <w:unhideWhenUsed/>
    <w:rsid w:val="00CA12E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lock Text"/>
    <w:basedOn w:val="a"/>
    <w:uiPriority w:val="99"/>
    <w:rsid w:val="00435418"/>
    <w:pPr>
      <w:widowControl w:val="0"/>
      <w:shd w:val="clear" w:color="auto" w:fill="FFFFFF"/>
      <w:autoSpaceDE w:val="0"/>
      <w:autoSpaceDN w:val="0"/>
      <w:adjustRightInd w:val="0"/>
      <w:spacing w:after="0" w:line="240" w:lineRule="auto"/>
      <w:ind w:left="29" w:right="10" w:firstLine="709"/>
      <w:jc w:val="both"/>
    </w:pPr>
    <w:rPr>
      <w:rFonts w:ascii="Times New Roman" w:eastAsia="Times New Roman" w:hAnsi="Times New Roman" w:cs="Times New Roman"/>
      <w:sz w:val="28"/>
      <w:szCs w:val="20"/>
      <w:lang w:eastAsia="ru-RU"/>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20" w:type="dxa"/>
        <w:left w:w="20" w:type="dxa"/>
        <w:bottom w:w="20" w:type="dxa"/>
        <w:right w:w="20" w:type="dxa"/>
      </w:tblCellMar>
    </w:tblPr>
  </w:style>
  <w:style w:type="character" w:styleId="af0">
    <w:name w:val="annotation reference"/>
    <w:basedOn w:val="a0"/>
    <w:uiPriority w:val="99"/>
    <w:semiHidden/>
    <w:unhideWhenUsed/>
    <w:rsid w:val="007F7C57"/>
    <w:rPr>
      <w:sz w:val="16"/>
      <w:szCs w:val="16"/>
    </w:rPr>
  </w:style>
  <w:style w:type="paragraph" w:styleId="af1">
    <w:name w:val="annotation text"/>
    <w:basedOn w:val="a"/>
    <w:link w:val="af2"/>
    <w:uiPriority w:val="99"/>
    <w:semiHidden/>
    <w:unhideWhenUsed/>
    <w:rsid w:val="007F7C57"/>
    <w:pPr>
      <w:spacing w:line="240" w:lineRule="auto"/>
    </w:pPr>
    <w:rPr>
      <w:sz w:val="20"/>
      <w:szCs w:val="20"/>
    </w:rPr>
  </w:style>
  <w:style w:type="character" w:customStyle="1" w:styleId="af2">
    <w:name w:val="Текст примечания Знак"/>
    <w:basedOn w:val="a0"/>
    <w:link w:val="af1"/>
    <w:uiPriority w:val="99"/>
    <w:semiHidden/>
    <w:rsid w:val="007F7C57"/>
    <w:rPr>
      <w:sz w:val="20"/>
      <w:szCs w:val="20"/>
    </w:rPr>
  </w:style>
  <w:style w:type="paragraph" w:styleId="af3">
    <w:name w:val="annotation subject"/>
    <w:basedOn w:val="af1"/>
    <w:next w:val="af1"/>
    <w:link w:val="af4"/>
    <w:uiPriority w:val="99"/>
    <w:semiHidden/>
    <w:unhideWhenUsed/>
    <w:rsid w:val="007F7C57"/>
    <w:rPr>
      <w:b/>
      <w:bCs/>
    </w:rPr>
  </w:style>
  <w:style w:type="character" w:customStyle="1" w:styleId="af4">
    <w:name w:val="Тема примечания Знак"/>
    <w:basedOn w:val="af2"/>
    <w:link w:val="af3"/>
    <w:uiPriority w:val="99"/>
    <w:semiHidden/>
    <w:rsid w:val="007F7C57"/>
    <w:rPr>
      <w:b/>
      <w:bCs/>
      <w:sz w:val="20"/>
      <w:szCs w:val="20"/>
    </w:rPr>
  </w:style>
  <w:style w:type="paragraph" w:styleId="af5">
    <w:name w:val="Revision"/>
    <w:hidden/>
    <w:uiPriority w:val="99"/>
    <w:semiHidden/>
    <w:rsid w:val="00F907D6"/>
    <w:pPr>
      <w:spacing w:after="0" w:line="240" w:lineRule="auto"/>
    </w:pPr>
  </w:style>
  <w:style w:type="table" w:customStyle="1" w:styleId="af6">
    <w:basedOn w:val="TableNormal1"/>
    <w:tblPr>
      <w:tblStyleRowBandSize w:val="1"/>
      <w:tblStyleColBandSize w:val="1"/>
      <w:tblCellMar>
        <w:top w:w="20" w:type="dxa"/>
        <w:left w:w="20" w:type="dxa"/>
        <w:bottom w:w="20" w:type="dxa"/>
        <w:right w:w="20" w:type="dxa"/>
      </w:tblCellMar>
    </w:tblPr>
  </w:style>
  <w:style w:type="table" w:customStyle="1" w:styleId="af7">
    <w:basedOn w:val="TableNormal0"/>
    <w:tblPr>
      <w:tblStyleRowBandSize w:val="1"/>
      <w:tblStyleColBandSize w:val="1"/>
      <w:tblCellMar>
        <w:top w:w="20" w:type="dxa"/>
        <w:left w:w="20" w:type="dxa"/>
        <w:bottom w:w="20" w:type="dxa"/>
        <w:right w:w="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OMn5JiCPOfUae18MUC03ocuXUg==">AMUW2mWBd47Knh2DeuFgJP2thgN8biTLHRWI02obDlebU98z0RcYMUVnuWaz3fokKzTRPdOUqNmy9qqH/HtEGMr9T7/ttuYlDKdJ7xqR+tBaoznfzGtzYf1zkZjXvbBFQvGCllcUVTN3C6FB3p+SpLWhWnDAeQ69cA==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s.isaenko@outlook.com</dc:creator>
  <cp:lastModifiedBy>Iuliia Kleimenova</cp:lastModifiedBy>
  <cp:revision>4</cp:revision>
  <dcterms:created xsi:type="dcterms:W3CDTF">2022-07-13T13:27:00Z</dcterms:created>
  <dcterms:modified xsi:type="dcterms:W3CDTF">2022-08-26T05:59:00Z</dcterms:modified>
</cp:coreProperties>
</file>