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АНАЛІЗ РЕГУЛЯТОРНОГО ВПЛИВУ</w:t>
      </w:r>
    </w:p>
    <w:p w:rsidR="00483DFA" w:rsidRDefault="002C629C" w:rsidP="00483DFA">
      <w:pPr>
        <w:pStyle w:val="afb"/>
        <w:jc w:val="center"/>
        <w:rPr>
          <w:rFonts w:ascii="Times New Roman" w:hAnsi="Times New Roman" w:cs="Times New Roman"/>
          <w:b/>
          <w:sz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до проекту Закону України </w:t>
      </w:r>
      <w:r w:rsidR="00483DF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83DFA" w:rsidRPr="008203DD">
        <w:rPr>
          <w:rFonts w:ascii="Times New Roman" w:hAnsi="Times New Roman" w:cs="Times New Roman"/>
          <w:b/>
          <w:sz w:val="28"/>
        </w:rPr>
        <w:t xml:space="preserve">Про внесення зміни до пункту 271.2 </w:t>
      </w:r>
    </w:p>
    <w:p w:rsidR="009A4E2C" w:rsidRDefault="00483DFA" w:rsidP="00483DFA">
      <w:pPr>
        <w:jc w:val="center"/>
        <w:rPr>
          <w:b/>
          <w:sz w:val="28"/>
          <w:szCs w:val="28"/>
        </w:rPr>
      </w:pPr>
      <w:r w:rsidRPr="008203DD">
        <w:rPr>
          <w:b/>
          <w:sz w:val="28"/>
        </w:rPr>
        <w:t xml:space="preserve">статті 271 Податкового кодексу України щодо унормування питань оприлюднення і застосування рішення про </w:t>
      </w:r>
      <w:r w:rsidRPr="008203DD">
        <w:rPr>
          <w:b/>
          <w:sz w:val="28"/>
          <w:szCs w:val="28"/>
        </w:rPr>
        <w:t>нормативну грошову оцінку земельних ділянок, проведену вперше</w:t>
      </w:r>
      <w:r w:rsidRPr="009A50BF">
        <w:rPr>
          <w:b/>
          <w:sz w:val="28"/>
          <w:szCs w:val="28"/>
        </w:rPr>
        <w:t>»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І. Визначення проблеми</w:t>
      </w:r>
    </w:p>
    <w:p w:rsidR="00483DFA" w:rsidRPr="00E31878" w:rsidRDefault="00483DFA" w:rsidP="00483DFA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78">
        <w:rPr>
          <w:rFonts w:ascii="Times New Roman" w:hAnsi="Times New Roman" w:cs="Times New Roman"/>
          <w:sz w:val="28"/>
          <w:szCs w:val="28"/>
        </w:rPr>
        <w:t>Процедура виділення земельних ділянок потребує значних часових затрат</w:t>
      </w:r>
      <w:r w:rsidRPr="00E31878">
        <w:rPr>
          <w:rFonts w:ascii="Times New Roman" w:hAnsi="Times New Roman" w:cs="Times New Roman"/>
          <w:sz w:val="28"/>
          <w:szCs w:val="28"/>
        </w:rPr>
        <w:t xml:space="preserve"> </w:t>
      </w:r>
      <w:r w:rsidRPr="00E31878">
        <w:rPr>
          <w:rFonts w:ascii="Times New Roman" w:hAnsi="Times New Roman" w:cs="Times New Roman"/>
          <w:sz w:val="28"/>
          <w:szCs w:val="28"/>
        </w:rPr>
        <w:t xml:space="preserve">в постачальників електронних комунікаційних послуг та/або мереж для розміщення об'єктів цифрової інфраструктури. Зокрема це пов’язано з необхідністю проведення нормативної грошової оцінки земель на земельних ділянках, де такої оцінки не було проведено. </w:t>
      </w:r>
    </w:p>
    <w:p w:rsidR="00483DFA" w:rsidRPr="00E31878" w:rsidRDefault="00483DFA" w:rsidP="00483DFA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878">
        <w:rPr>
          <w:rFonts w:ascii="Times New Roman" w:hAnsi="Times New Roman" w:cs="Times New Roman"/>
          <w:sz w:val="28"/>
          <w:szCs w:val="28"/>
        </w:rPr>
        <w:t>Нормативна грошова оцінка земель є основою для визначення вартості оренди земельної ділянки, яка після прийняття відповідним органом рішення про затвердження проекту землеустрою передається в користування постачальникам електронних комунікаційних послуг та/або мереж для розміщення, будівництва, експлуатації та обслуговування технічних засобів електронних комунікацій та/або споруд електронних комунікацій.</w:t>
      </w:r>
    </w:p>
    <w:p w:rsidR="00483DFA" w:rsidRDefault="00483DFA" w:rsidP="00483DFA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Наразі п</w:t>
      </w:r>
      <w:r w:rsidRPr="00287854">
        <w:rPr>
          <w:rFonts w:ascii="Times New Roman" w:hAnsi="Times New Roman" w:cs="Times New Roman"/>
          <w:sz w:val="28"/>
          <w:szCs w:val="28"/>
        </w:rPr>
        <w:t>унктом 271.2 статті 271 Податкового кодексу України</w:t>
      </w:r>
      <w:r>
        <w:rPr>
          <w:rFonts w:ascii="Times New Roman" w:hAnsi="Times New Roman" w:cs="Times New Roman"/>
          <w:sz w:val="28"/>
          <w:szCs w:val="28"/>
        </w:rPr>
        <w:t xml:space="preserve"> передбачено, що р</w:t>
      </w:r>
      <w:r w:rsidRPr="00287854">
        <w:rPr>
          <w:rFonts w:ascii="Times New Roman" w:hAnsi="Times New Roman" w:cs="Times New Roman"/>
          <w:sz w:val="28"/>
          <w:szCs w:val="28"/>
        </w:rPr>
        <w:t>ішення рад щодо нормативної грошової оцінки земельних ділянок офіційно оприлюднюється відповідним органом місцевого самоврядування до 15 липня року, що передує бюджетному періоду, в якому планується застосування нормативної грошової оцінки земель або змін (плановий період). В іншому разі норми відповідних рішень застосовуються не раніше початку бюджетного періоду, що настає за плановим періодом.</w:t>
      </w:r>
    </w:p>
    <w:p w:rsidR="00483DFA" w:rsidRPr="00E81FE8" w:rsidRDefault="00483DFA" w:rsidP="00E81FE8">
      <w:pPr>
        <w:pStyle w:val="af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</w:t>
      </w:r>
      <w:r>
        <w:rPr>
          <w:rFonts w:ascii="Times New Roman" w:hAnsi="Times New Roman" w:cs="Times New Roman"/>
          <w:sz w:val="28"/>
          <w:szCs w:val="28"/>
        </w:rPr>
        <w:t xml:space="preserve">, застосування вказаної норми </w:t>
      </w:r>
      <w:r w:rsidRPr="00287854">
        <w:rPr>
          <w:rFonts w:ascii="Times New Roman" w:hAnsi="Times New Roman" w:cs="Times New Roman"/>
          <w:sz w:val="28"/>
          <w:szCs w:val="28"/>
        </w:rPr>
        <w:t>Податкового кодексу України</w:t>
      </w:r>
      <w:r>
        <w:rPr>
          <w:rFonts w:ascii="Times New Roman" w:hAnsi="Times New Roman" w:cs="Times New Roman"/>
          <w:sz w:val="28"/>
          <w:szCs w:val="28"/>
        </w:rPr>
        <w:t xml:space="preserve"> призводить до неможливості отримання в оренду земельних ділянок для будівництва цифрової інфраструктури в короткі строки.</w:t>
      </w:r>
      <w:r w:rsidR="00E81FE8">
        <w:rPr>
          <w:rFonts w:ascii="Times New Roman" w:hAnsi="Times New Roman" w:cs="Times New Roman"/>
          <w:sz w:val="28"/>
          <w:szCs w:val="28"/>
        </w:rPr>
        <w:t xml:space="preserve"> Це пов’язано з тим, що</w:t>
      </w:r>
      <w:r>
        <w:rPr>
          <w:rFonts w:ascii="Times New Roman" w:hAnsi="Times New Roman" w:cs="Times New Roman"/>
          <w:sz w:val="28"/>
          <w:szCs w:val="28"/>
        </w:rPr>
        <w:t xml:space="preserve"> велика частина земельних ділянок щодо яких </w:t>
      </w:r>
      <w:r w:rsidRPr="00043CBA">
        <w:rPr>
          <w:rFonts w:ascii="Times New Roman" w:hAnsi="Times New Roman" w:cs="Times New Roman"/>
          <w:sz w:val="28"/>
          <w:szCs w:val="28"/>
        </w:rPr>
        <w:t>постачальник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3CBA">
        <w:rPr>
          <w:rFonts w:ascii="Times New Roman" w:hAnsi="Times New Roman" w:cs="Times New Roman"/>
          <w:sz w:val="28"/>
          <w:szCs w:val="28"/>
        </w:rPr>
        <w:t xml:space="preserve"> електронних комунікаційних послуг та/або мереж</w:t>
      </w:r>
      <w:r>
        <w:rPr>
          <w:rFonts w:ascii="Times New Roman" w:hAnsi="Times New Roman" w:cs="Times New Roman"/>
          <w:sz w:val="28"/>
          <w:szCs w:val="28"/>
        </w:rPr>
        <w:t xml:space="preserve"> звертаються щодо отримання їх в оренду є такими, щодо яких нормативна грошова оцінка не проводилася. Тому відсутність нормативно грошової оцінки земельної ділянки як основи для визначення вартості оренди земельної ділянки унеможливлює отримання такої земельної ділянки в оренду та початку будівництва цифрової інфраструктури задля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забезпечення покриття населення України зв’язком четвертого покоління та мобільним високошвидкісним інтернетом.</w:t>
      </w:r>
    </w:p>
    <w:p w:rsidR="009A4E2C" w:rsidRDefault="00483DFA" w:rsidP="00DD00C9">
      <w:pPr>
        <w:pStyle w:val="af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В</w:t>
      </w:r>
      <w:r w:rsidRPr="00084B11">
        <w:rPr>
          <w:sz w:val="28"/>
          <w:szCs w:val="28"/>
        </w:rPr>
        <w:t xml:space="preserve">становлення спеціального строку для оприлюднення і застосування рішення про </w:t>
      </w:r>
      <w:r w:rsidRPr="00756AD3">
        <w:rPr>
          <w:sz w:val="28"/>
          <w:szCs w:val="28"/>
        </w:rPr>
        <w:t>нормативну грошову оцінку земельних ділянок, проведену вперше</w:t>
      </w:r>
      <w:r>
        <w:rPr>
          <w:sz w:val="28"/>
          <w:szCs w:val="28"/>
        </w:rPr>
        <w:t xml:space="preserve">, </w:t>
      </w:r>
      <w:r w:rsidR="00DD00C9">
        <w:rPr>
          <w:sz w:val="28"/>
          <w:szCs w:val="28"/>
        </w:rPr>
        <w:t xml:space="preserve">забезпечить </w:t>
      </w:r>
      <w:r w:rsidR="002C629C">
        <w:rPr>
          <w:sz w:val="28"/>
          <w:szCs w:val="28"/>
        </w:rPr>
        <w:t>пришвидш</w:t>
      </w:r>
      <w:r w:rsidR="00DD00C9">
        <w:rPr>
          <w:sz w:val="28"/>
          <w:szCs w:val="28"/>
        </w:rPr>
        <w:t>ення</w:t>
      </w:r>
      <w:r w:rsidR="002C629C">
        <w:rPr>
          <w:sz w:val="28"/>
          <w:szCs w:val="28"/>
        </w:rPr>
        <w:t xml:space="preserve"> </w:t>
      </w:r>
      <w:r w:rsidR="00DD00C9">
        <w:rPr>
          <w:sz w:val="28"/>
          <w:szCs w:val="28"/>
        </w:rPr>
        <w:t xml:space="preserve">розгортання мобільного широкосмугового доступу </w:t>
      </w:r>
      <w:r w:rsidR="00DD00C9">
        <w:rPr>
          <w:sz w:val="28"/>
          <w:szCs w:val="28"/>
        </w:rPr>
        <w:lastRenderedPageBreak/>
        <w:t>до Інтернету й</w:t>
      </w:r>
      <w:r w:rsidR="00DD00C9">
        <w:rPr>
          <w:color w:val="000000"/>
          <w:sz w:val="28"/>
          <w:szCs w:val="28"/>
          <w:highlight w:val="white"/>
        </w:rPr>
        <w:t xml:space="preserve">  відповідно</w:t>
      </w:r>
      <w:r w:rsidR="002C629C">
        <w:rPr>
          <w:color w:val="000000"/>
          <w:sz w:val="28"/>
          <w:szCs w:val="28"/>
          <w:highlight w:val="white"/>
        </w:rPr>
        <w:t xml:space="preserve"> виконання </w:t>
      </w:r>
      <w:r w:rsidR="002C629C">
        <w:rPr>
          <w:sz w:val="28"/>
          <w:szCs w:val="28"/>
          <w:highlight w:val="white"/>
        </w:rPr>
        <w:t>цілі</w:t>
      </w:r>
      <w:r w:rsidR="002C629C">
        <w:rPr>
          <w:color w:val="000000"/>
          <w:sz w:val="28"/>
          <w:szCs w:val="28"/>
          <w:highlight w:val="white"/>
        </w:rPr>
        <w:t xml:space="preserve"> 2.2 розділу </w:t>
      </w:r>
      <w:r w:rsidR="00DD00C9">
        <w:rPr>
          <w:sz w:val="28"/>
          <w:szCs w:val="28"/>
          <w:highlight w:val="white"/>
        </w:rPr>
        <w:t>«</w:t>
      </w:r>
      <w:r w:rsidR="002C629C">
        <w:rPr>
          <w:color w:val="000000"/>
          <w:sz w:val="28"/>
          <w:szCs w:val="28"/>
          <w:highlight w:val="white"/>
        </w:rPr>
        <w:t>Довгострокові пріоритети діяльності Уряду</w:t>
      </w:r>
      <w:r w:rsidR="00DD00C9">
        <w:rPr>
          <w:sz w:val="28"/>
          <w:szCs w:val="28"/>
          <w:highlight w:val="white"/>
        </w:rPr>
        <w:t>»</w:t>
      </w:r>
      <w:r w:rsidR="002C629C">
        <w:rPr>
          <w:color w:val="000000"/>
          <w:sz w:val="28"/>
          <w:szCs w:val="28"/>
          <w:highlight w:val="white"/>
        </w:rPr>
        <w:t xml:space="preserve"> Програми діяльності Кабінету Міністрів України, затвердженої постановою Уряду від </w:t>
      </w:r>
      <w:r w:rsidR="00DD00C9">
        <w:rPr>
          <w:color w:val="000000"/>
          <w:sz w:val="28"/>
          <w:szCs w:val="28"/>
        </w:rPr>
        <w:t>12.06.2020 № 471.</w:t>
      </w:r>
    </w:p>
    <w:p w:rsidR="00DD00C9" w:rsidRDefault="00EF56EE" w:rsidP="00483D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Зважаючи на викладене, п</w:t>
      </w:r>
      <w:r w:rsidR="00DD00C9">
        <w:rPr>
          <w:sz w:val="28"/>
          <w:szCs w:val="28"/>
        </w:rPr>
        <w:t xml:space="preserve">роектом Закону пропонується внести зміни до </w:t>
      </w:r>
      <w:r w:rsidR="00483DFA">
        <w:rPr>
          <w:sz w:val="28"/>
          <w:szCs w:val="28"/>
        </w:rPr>
        <w:t>пункту</w:t>
      </w:r>
      <w:r w:rsidR="00483DFA" w:rsidRPr="00287854">
        <w:rPr>
          <w:sz w:val="28"/>
          <w:szCs w:val="28"/>
        </w:rPr>
        <w:t xml:space="preserve"> 271.2 статті 271 Податкового кодексу України</w:t>
      </w:r>
      <w:r w:rsidR="00483DFA">
        <w:rPr>
          <w:sz w:val="28"/>
          <w:szCs w:val="28"/>
        </w:rPr>
        <w:t xml:space="preserve"> та встановити спеціальний строк для </w:t>
      </w:r>
      <w:r w:rsidR="00483DFA" w:rsidRPr="00756AD3">
        <w:rPr>
          <w:sz w:val="28"/>
        </w:rPr>
        <w:t xml:space="preserve">оприлюднення і застосування </w:t>
      </w:r>
      <w:r w:rsidR="00483DFA" w:rsidRPr="001E38FE">
        <w:rPr>
          <w:sz w:val="28"/>
          <w:szCs w:val="28"/>
        </w:rPr>
        <w:t xml:space="preserve">рішення про нормативну грошову оцінку земельних ділянок, проведену вперше, визначивши, що рішення рад щодо </w:t>
      </w:r>
      <w:r w:rsidR="00483DFA" w:rsidRPr="00346105">
        <w:rPr>
          <w:sz w:val="28"/>
          <w:szCs w:val="28"/>
          <w:highlight w:val="white"/>
        </w:rPr>
        <w:t>нормативної грошової оцінки проведеної вперше стосовно земельних ділянок, відведених за клопотаннями постачальників електронних комунікаційних послуг та/або мереж для розгортання та експлуатації електронних комунікаційних мереж загального користування та/або інфраструктури</w:t>
      </w:r>
      <w:r w:rsidR="00483DFA" w:rsidRPr="001E38FE">
        <w:rPr>
          <w:sz w:val="28"/>
          <w:szCs w:val="28"/>
        </w:rPr>
        <w:t>, офіційно оприлюднюється відповідним органом місцев</w:t>
      </w:r>
      <w:r w:rsidR="00483DFA">
        <w:rPr>
          <w:sz w:val="28"/>
          <w:szCs w:val="28"/>
        </w:rPr>
        <w:t>ого самоврядування не пізніше п</w:t>
      </w:r>
      <w:r w:rsidR="00483DFA" w:rsidRPr="001E38FE">
        <w:rPr>
          <w:sz w:val="28"/>
          <w:szCs w:val="28"/>
        </w:rPr>
        <w:t>’яти днів з дня прийняття такого рішення та застосовується з 1-го числа місяця, наступного за місяцем, в якому прийнято відповідне рішення.</w:t>
      </w:r>
    </w:p>
    <w:p w:rsidR="009A4E2C" w:rsidRDefault="009A4E2C">
      <w:pPr>
        <w:widowControl/>
        <w:shd w:val="clear" w:color="auto" w:fill="FFFFFF"/>
        <w:spacing w:before="120"/>
        <w:ind w:firstLine="709"/>
        <w:jc w:val="both"/>
        <w:rPr>
          <w:sz w:val="28"/>
          <w:szCs w:val="28"/>
        </w:rPr>
      </w:pPr>
    </w:p>
    <w:p w:rsidR="009A4E2C" w:rsidRDefault="002C62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Основні групи, на які проблема справляє вплив:</w:t>
      </w:r>
    </w:p>
    <w:p w:rsidR="009A4E2C" w:rsidRDefault="009A4E2C">
      <w:pPr>
        <w:rPr>
          <w:sz w:val="16"/>
          <w:szCs w:val="16"/>
        </w:rPr>
      </w:pPr>
    </w:p>
    <w:tbl>
      <w:tblPr>
        <w:tblStyle w:val="a5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55"/>
        <w:gridCol w:w="1605"/>
        <w:gridCol w:w="1479"/>
      </w:tblGrid>
      <w:tr w:rsidR="009A4E2C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Групи (підгрупи)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Так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Ні</w:t>
            </w:r>
          </w:p>
        </w:tc>
      </w:tr>
      <w:tr w:rsidR="009A4E2C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Громадяни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9A4E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</w:p>
        </w:tc>
      </w:tr>
      <w:tr w:rsidR="009A4E2C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Держава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9A4E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A4E2C"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both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Суб’єкти господарювання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4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9A4E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 w:right="140"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140" w:firstLine="709"/>
        <w:jc w:val="both"/>
        <w:rPr>
          <w:color w:val="000000"/>
          <w:sz w:val="16"/>
          <w:szCs w:val="16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Проблема, яку пропонується врегулювати в результаті прийняття акта, не може бути розв’язана за д</w:t>
      </w:r>
      <w:r>
        <w:rPr>
          <w:color w:val="000000"/>
          <w:sz w:val="28"/>
          <w:szCs w:val="28"/>
          <w:highlight w:val="white"/>
        </w:rPr>
        <w:t xml:space="preserve">опомогою ринкових механізмів, оскільки проект Закону передбачає її розв’язання шляхом </w:t>
      </w:r>
      <w:r w:rsidR="00483DFA">
        <w:rPr>
          <w:sz w:val="28"/>
          <w:szCs w:val="28"/>
        </w:rPr>
        <w:t>встанов</w:t>
      </w:r>
      <w:r w:rsidR="00483DFA">
        <w:rPr>
          <w:sz w:val="28"/>
          <w:szCs w:val="28"/>
        </w:rPr>
        <w:t>лення</w:t>
      </w:r>
      <w:r w:rsidR="00483DFA">
        <w:rPr>
          <w:sz w:val="28"/>
          <w:szCs w:val="28"/>
        </w:rPr>
        <w:t xml:space="preserve"> спеціальн</w:t>
      </w:r>
      <w:r w:rsidR="00483DFA">
        <w:rPr>
          <w:sz w:val="28"/>
          <w:szCs w:val="28"/>
        </w:rPr>
        <w:t>ого</w:t>
      </w:r>
      <w:r w:rsidR="00483DFA">
        <w:rPr>
          <w:sz w:val="28"/>
          <w:szCs w:val="28"/>
        </w:rPr>
        <w:t xml:space="preserve"> строк</w:t>
      </w:r>
      <w:r w:rsidR="00483DFA">
        <w:rPr>
          <w:sz w:val="28"/>
          <w:szCs w:val="28"/>
        </w:rPr>
        <w:t>у</w:t>
      </w:r>
      <w:r w:rsidR="00483DFA">
        <w:rPr>
          <w:sz w:val="28"/>
          <w:szCs w:val="28"/>
        </w:rPr>
        <w:t xml:space="preserve"> для </w:t>
      </w:r>
      <w:r w:rsidR="00483DFA" w:rsidRPr="00756AD3">
        <w:rPr>
          <w:sz w:val="28"/>
        </w:rPr>
        <w:t xml:space="preserve">оприлюднення і застосування </w:t>
      </w:r>
      <w:r w:rsidR="00483DFA" w:rsidRPr="001E38FE">
        <w:rPr>
          <w:sz w:val="28"/>
          <w:szCs w:val="28"/>
        </w:rPr>
        <w:t xml:space="preserve">рішення про </w:t>
      </w:r>
      <w:r w:rsidR="00E81FE8" w:rsidRPr="001E38FE">
        <w:rPr>
          <w:sz w:val="28"/>
          <w:szCs w:val="28"/>
        </w:rPr>
        <w:t>проведену вперше</w:t>
      </w:r>
      <w:r w:rsidR="00E81FE8" w:rsidRPr="001E38FE">
        <w:rPr>
          <w:sz w:val="28"/>
          <w:szCs w:val="28"/>
        </w:rPr>
        <w:t xml:space="preserve"> </w:t>
      </w:r>
      <w:r w:rsidR="00483DFA" w:rsidRPr="001E38FE">
        <w:rPr>
          <w:sz w:val="28"/>
          <w:szCs w:val="28"/>
        </w:rPr>
        <w:t xml:space="preserve">нормативну грошову оцінку земельних </w:t>
      </w:r>
      <w:r w:rsidR="00E81FE8">
        <w:rPr>
          <w:sz w:val="28"/>
          <w:szCs w:val="28"/>
        </w:rPr>
        <w:t>ділянок,</w:t>
      </w:r>
      <w:r w:rsidR="00A04D7F">
        <w:rPr>
          <w:sz w:val="28"/>
          <w:szCs w:val="28"/>
        </w:rPr>
        <w:t xml:space="preserve"> </w:t>
      </w:r>
      <w:r w:rsidR="00681BB4" w:rsidRPr="00346105">
        <w:rPr>
          <w:sz w:val="28"/>
          <w:szCs w:val="28"/>
          <w:highlight w:val="white"/>
        </w:rPr>
        <w:t>відведен</w:t>
      </w:r>
      <w:r w:rsidR="00681BB4">
        <w:rPr>
          <w:sz w:val="28"/>
          <w:szCs w:val="28"/>
          <w:highlight w:val="white"/>
        </w:rPr>
        <w:t>ня якої здійснюється</w:t>
      </w:r>
      <w:r w:rsidR="00681BB4" w:rsidRPr="00346105">
        <w:rPr>
          <w:sz w:val="28"/>
          <w:szCs w:val="28"/>
          <w:highlight w:val="white"/>
        </w:rPr>
        <w:t xml:space="preserve"> за клопотаннями постачальників електронних комунікаційних послуг та/або мереж для розгортання та експлуатації електронних комунікаційних мереж загального</w:t>
      </w:r>
      <w:r w:rsidR="00681BB4">
        <w:rPr>
          <w:sz w:val="28"/>
          <w:szCs w:val="28"/>
          <w:highlight w:val="white"/>
        </w:rPr>
        <w:t xml:space="preserve"> </w:t>
      </w:r>
      <w:r w:rsidR="00681BB4" w:rsidRPr="00346105">
        <w:rPr>
          <w:sz w:val="28"/>
          <w:szCs w:val="28"/>
          <w:highlight w:val="white"/>
        </w:rPr>
        <w:t>користування та/або інфраструктури</w:t>
      </w:r>
      <w:r w:rsidR="00681BB4">
        <w:rPr>
          <w:sz w:val="28"/>
          <w:szCs w:val="28"/>
        </w:rPr>
        <w:t xml:space="preserve">, </w:t>
      </w:r>
      <w:r w:rsidR="00A04D7F">
        <w:rPr>
          <w:sz w:val="28"/>
          <w:szCs w:val="28"/>
        </w:rPr>
        <w:t>що може бути врегульовано виключно на рівні закону</w:t>
      </w:r>
      <w:r>
        <w:rPr>
          <w:color w:val="000000"/>
          <w:sz w:val="28"/>
          <w:szCs w:val="28"/>
        </w:rPr>
        <w:t>.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Проблема </w:t>
      </w:r>
      <w:r>
        <w:rPr>
          <w:color w:val="000000"/>
          <w:sz w:val="28"/>
          <w:szCs w:val="28"/>
          <w:highlight w:val="white"/>
        </w:rPr>
        <w:t>не може бути розв’язана за допомогою діючих регуляторних актів, оскільки на даний час відсутні такі а</w:t>
      </w:r>
      <w:r>
        <w:rPr>
          <w:sz w:val="28"/>
          <w:szCs w:val="28"/>
          <w:highlight w:val="white"/>
        </w:rPr>
        <w:t>кти</w:t>
      </w:r>
      <w:r>
        <w:rPr>
          <w:color w:val="000000"/>
          <w:sz w:val="28"/>
          <w:szCs w:val="28"/>
        </w:rPr>
        <w:t>.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9A4E2C" w:rsidRDefault="002C629C">
      <w:pPr>
        <w:widowControl/>
        <w:ind w:firstLine="709"/>
        <w:jc w:val="both"/>
      </w:pPr>
      <w:r>
        <w:rPr>
          <w:b/>
          <w:sz w:val="28"/>
          <w:szCs w:val="28"/>
        </w:rPr>
        <w:t>ІІ. Цілі державного регулювання</w:t>
      </w:r>
    </w:p>
    <w:p w:rsidR="009A4E2C" w:rsidRDefault="002C62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Закону розроблено з метою </w:t>
      </w:r>
      <w:r w:rsidR="00681BB4" w:rsidRPr="006A206D">
        <w:rPr>
          <w:sz w:val="28"/>
          <w:szCs w:val="28"/>
        </w:rPr>
        <w:t xml:space="preserve">спрощення процедури отримання </w:t>
      </w:r>
      <w:r w:rsidR="00681BB4" w:rsidRPr="00043CBA">
        <w:rPr>
          <w:sz w:val="28"/>
          <w:szCs w:val="28"/>
        </w:rPr>
        <w:t>постачальник</w:t>
      </w:r>
      <w:r w:rsidR="00681BB4">
        <w:rPr>
          <w:sz w:val="28"/>
          <w:szCs w:val="28"/>
        </w:rPr>
        <w:t>ами</w:t>
      </w:r>
      <w:r w:rsidR="00681BB4" w:rsidRPr="00043CBA">
        <w:rPr>
          <w:sz w:val="28"/>
          <w:szCs w:val="28"/>
        </w:rPr>
        <w:t xml:space="preserve"> електронних комунікаційних послуг та/або мереж</w:t>
      </w:r>
      <w:r w:rsidR="00681BB4" w:rsidRPr="006A206D">
        <w:rPr>
          <w:sz w:val="28"/>
          <w:szCs w:val="28"/>
        </w:rPr>
        <w:t xml:space="preserve"> права на користування</w:t>
      </w:r>
      <w:r w:rsidR="00681BB4">
        <w:rPr>
          <w:sz w:val="28"/>
          <w:szCs w:val="28"/>
        </w:rPr>
        <w:t xml:space="preserve"> земельними ділянками для </w:t>
      </w:r>
      <w:r w:rsidR="00681BB4" w:rsidRPr="00043CBA">
        <w:rPr>
          <w:rFonts w:eastAsiaTheme="minorHAnsi"/>
          <w:sz w:val="28"/>
          <w:szCs w:val="28"/>
        </w:rPr>
        <w:t>розміщення</w:t>
      </w:r>
      <w:r w:rsidR="00681BB4">
        <w:rPr>
          <w:rFonts w:eastAsiaTheme="minorHAnsi"/>
          <w:sz w:val="28"/>
          <w:szCs w:val="28"/>
        </w:rPr>
        <w:t xml:space="preserve">, </w:t>
      </w:r>
      <w:r w:rsidR="00681BB4" w:rsidRPr="00043CBA">
        <w:rPr>
          <w:rFonts w:eastAsiaTheme="minorHAnsi"/>
          <w:sz w:val="28"/>
          <w:szCs w:val="28"/>
        </w:rPr>
        <w:t>будівництва, експлуатації</w:t>
      </w:r>
      <w:r w:rsidR="00681BB4" w:rsidRPr="00043CBA">
        <w:rPr>
          <w:sz w:val="28"/>
          <w:szCs w:val="28"/>
        </w:rPr>
        <w:t xml:space="preserve"> та</w:t>
      </w:r>
      <w:r w:rsidR="00681BB4" w:rsidRPr="00043CBA">
        <w:rPr>
          <w:rFonts w:eastAsiaTheme="minorHAnsi"/>
          <w:sz w:val="28"/>
          <w:szCs w:val="28"/>
        </w:rPr>
        <w:t xml:space="preserve"> обслуговування технічних засобів електронних комунікацій</w:t>
      </w:r>
      <w:r w:rsidR="00681BB4" w:rsidRPr="00043CBA">
        <w:rPr>
          <w:sz w:val="28"/>
          <w:szCs w:val="28"/>
        </w:rPr>
        <w:t xml:space="preserve"> </w:t>
      </w:r>
      <w:r w:rsidR="00681BB4" w:rsidRPr="00043CBA">
        <w:rPr>
          <w:rFonts w:eastAsiaTheme="minorHAnsi"/>
          <w:sz w:val="28"/>
          <w:szCs w:val="28"/>
        </w:rPr>
        <w:t>та/або споруд електронних комунікацій</w:t>
      </w:r>
      <w:r w:rsidR="00681BB4">
        <w:rPr>
          <w:sz w:val="28"/>
          <w:szCs w:val="28"/>
        </w:rPr>
        <w:t xml:space="preserve"> для забезпечення покриття населення України зв’язком четвертого покоління та мобільним високошвидкісним інтернетом шляхом встановлення спеціального строку для </w:t>
      </w:r>
      <w:r w:rsidR="00681BB4" w:rsidRPr="00756AD3">
        <w:rPr>
          <w:sz w:val="28"/>
        </w:rPr>
        <w:t xml:space="preserve">оприлюднення і застосування рішення про </w:t>
      </w:r>
      <w:r w:rsidR="00681BB4" w:rsidRPr="00756AD3">
        <w:rPr>
          <w:sz w:val="28"/>
          <w:szCs w:val="28"/>
        </w:rPr>
        <w:t>нормативну грошову оцінку земельних ділянок, проведену вперше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а також на виконання цілі 2.2 розділу </w:t>
      </w:r>
      <w:r w:rsidR="00876E16">
        <w:rPr>
          <w:sz w:val="28"/>
          <w:szCs w:val="28"/>
        </w:rPr>
        <w:t>«</w:t>
      </w:r>
      <w:r>
        <w:rPr>
          <w:sz w:val="28"/>
          <w:szCs w:val="28"/>
        </w:rPr>
        <w:t>Довгострокові пріоритети діяльності Уряду</w:t>
      </w:r>
      <w:r w:rsidR="00876E16">
        <w:rPr>
          <w:sz w:val="28"/>
          <w:szCs w:val="28"/>
        </w:rPr>
        <w:t>»</w:t>
      </w:r>
      <w:r>
        <w:rPr>
          <w:sz w:val="28"/>
          <w:szCs w:val="28"/>
        </w:rPr>
        <w:t xml:space="preserve"> Програми діяльності Кабінету Міністрів України, затвердженої постановою Кабінету Міністрів України від 12.06.2020 № 471, щодо розвитку мереж доступу до Інтернету, створення умов для мобільних технологій</w:t>
      </w:r>
      <w:r w:rsidR="00876E16">
        <w:rPr>
          <w:sz w:val="28"/>
          <w:szCs w:val="28"/>
        </w:rPr>
        <w:t xml:space="preserve"> четвертого та п’ятого поколінь</w:t>
      </w:r>
      <w:r>
        <w:rPr>
          <w:sz w:val="28"/>
          <w:szCs w:val="28"/>
        </w:rPr>
        <w:t>.</w:t>
      </w:r>
    </w:p>
    <w:p w:rsidR="009A4E2C" w:rsidRDefault="009A4E2C">
      <w:pPr>
        <w:ind w:firstLine="709"/>
        <w:jc w:val="both"/>
        <w:rPr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ІІІ. Визначення та оцінка альтернативних способів досягнення цілей</w:t>
      </w:r>
    </w:p>
    <w:p w:rsidR="009A4E2C" w:rsidRDefault="002C629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left="0" w:firstLine="709"/>
        <w:jc w:val="both"/>
      </w:pPr>
      <w:r>
        <w:rPr>
          <w:color w:val="000000"/>
          <w:sz w:val="28"/>
          <w:szCs w:val="28"/>
        </w:rPr>
        <w:t>Визначення альтернативних способів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 час розробки проекту Закону було розглянуто такі альтернативні способи досягнення визначених цілей державного регулювання: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140" w:firstLine="709"/>
        <w:jc w:val="both"/>
        <w:rPr>
          <w:color w:val="000000"/>
          <w:sz w:val="16"/>
          <w:szCs w:val="16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140" w:firstLine="709"/>
        <w:jc w:val="both"/>
        <w:rPr>
          <w:color w:val="000000"/>
          <w:sz w:val="16"/>
          <w:szCs w:val="16"/>
        </w:rPr>
      </w:pPr>
    </w:p>
    <w:tbl>
      <w:tblPr>
        <w:tblStyle w:val="a6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9A4E2C" w:rsidTr="00427A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Вид альтернатив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-284" w:right="140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Опис альтернативи</w:t>
            </w:r>
          </w:p>
        </w:tc>
      </w:tr>
      <w:tr w:rsidR="009A4E2C" w:rsidTr="00427A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Альтернатива 1:</w:t>
            </w:r>
          </w:p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31" w:firstLine="461"/>
              <w:jc w:val="both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З</w:t>
            </w:r>
            <w:r w:rsidRPr="00A91EBD">
              <w:rPr>
                <w:color w:val="000000"/>
                <w:sz w:val="27"/>
                <w:szCs w:val="27"/>
                <w:highlight w:val="white"/>
              </w:rPr>
              <w:t xml:space="preserve">алишити регулювання без змін. </w:t>
            </w:r>
            <w:r w:rsidRPr="00A91EBD">
              <w:rPr>
                <w:sz w:val="27"/>
                <w:szCs w:val="27"/>
                <w:highlight w:val="white"/>
              </w:rPr>
              <w:t>Ц</w:t>
            </w:r>
            <w:r w:rsidRPr="00A91EBD">
              <w:rPr>
                <w:color w:val="000000"/>
                <w:sz w:val="27"/>
                <w:szCs w:val="27"/>
                <w:highlight w:val="white"/>
              </w:rPr>
              <w:t xml:space="preserve">я альтернатива є недоцільною, оскільки визначені цілі державного регулювання досягнуті не будуть і </w:t>
            </w:r>
            <w:r w:rsidR="00876E16" w:rsidRPr="00A91EBD">
              <w:rPr>
                <w:sz w:val="27"/>
                <w:szCs w:val="27"/>
              </w:rPr>
              <w:t xml:space="preserve">постачальникам електронних комунікаційних послуг та/або мереж </w:t>
            </w:r>
            <w:r w:rsidRPr="00A91EBD">
              <w:rPr>
                <w:color w:val="000000"/>
                <w:sz w:val="27"/>
                <w:szCs w:val="27"/>
                <w:highlight w:val="white"/>
              </w:rPr>
              <w:t>не буде надана можливість оперативного розгортання базових станцій рухомого (мобільного) зв’язку на території України з метою безперебійного забезпечення населення доступом до мобільного Інтернету.</w:t>
            </w:r>
          </w:p>
          <w:p w:rsidR="00A91EBD" w:rsidRPr="00A91EBD" w:rsidRDefault="00A91E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31" w:firstLine="461"/>
              <w:jc w:val="both"/>
              <w:rPr>
                <w:color w:val="000000"/>
                <w:sz w:val="27"/>
                <w:szCs w:val="27"/>
                <w:highlight w:val="white"/>
              </w:rPr>
            </w:pPr>
          </w:p>
        </w:tc>
      </w:tr>
      <w:tr w:rsidR="009A4E2C" w:rsidTr="00427A5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Альтернатива 2:</w:t>
            </w:r>
          </w:p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прийняття Закону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Default="002C629C" w:rsidP="00876E16">
            <w:pPr>
              <w:ind w:right="31" w:firstLine="461"/>
              <w:jc w:val="both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 xml:space="preserve">Прийняття регуляторного акта є оптимальним способом вирішення зазначеної проблеми. </w:t>
            </w:r>
            <w:r w:rsidR="00876E16" w:rsidRPr="00A91EBD">
              <w:rPr>
                <w:sz w:val="27"/>
                <w:szCs w:val="27"/>
              </w:rPr>
              <w:t xml:space="preserve">Внесення </w:t>
            </w:r>
            <w:r w:rsidR="00681BB4">
              <w:rPr>
                <w:sz w:val="27"/>
                <w:szCs w:val="27"/>
              </w:rPr>
              <w:t xml:space="preserve">запропонованої </w:t>
            </w:r>
            <w:r w:rsidR="00876E16" w:rsidRPr="00A91EBD">
              <w:rPr>
                <w:sz w:val="27"/>
                <w:szCs w:val="27"/>
              </w:rPr>
              <w:t>змін</w:t>
            </w:r>
            <w:r w:rsidR="00681BB4">
              <w:rPr>
                <w:sz w:val="27"/>
                <w:szCs w:val="27"/>
              </w:rPr>
              <w:t>и</w:t>
            </w:r>
            <w:r w:rsidR="00876E16" w:rsidRPr="00A91EBD">
              <w:rPr>
                <w:sz w:val="27"/>
                <w:szCs w:val="27"/>
              </w:rPr>
              <w:t xml:space="preserve"> </w:t>
            </w:r>
            <w:proofErr w:type="spellStart"/>
            <w:r w:rsidRPr="00A91EBD">
              <w:rPr>
                <w:sz w:val="27"/>
                <w:szCs w:val="27"/>
                <w:highlight w:val="white"/>
              </w:rPr>
              <w:t>надасть</w:t>
            </w:r>
            <w:proofErr w:type="spellEnd"/>
            <w:r w:rsidRPr="00A91EBD">
              <w:rPr>
                <w:sz w:val="27"/>
                <w:szCs w:val="27"/>
                <w:highlight w:val="white"/>
              </w:rPr>
              <w:t xml:space="preserve"> можливість </w:t>
            </w:r>
            <w:r w:rsidR="00876E16" w:rsidRPr="00A91EBD">
              <w:rPr>
                <w:sz w:val="27"/>
                <w:szCs w:val="27"/>
                <w:highlight w:val="white"/>
              </w:rPr>
              <w:t xml:space="preserve">пришвидшити </w:t>
            </w:r>
            <w:proofErr w:type="spellStart"/>
            <w:r w:rsidR="00876E16" w:rsidRPr="00A91EBD">
              <w:rPr>
                <w:sz w:val="27"/>
                <w:szCs w:val="27"/>
                <w:highlight w:val="white"/>
              </w:rPr>
              <w:t>сторки</w:t>
            </w:r>
            <w:proofErr w:type="spellEnd"/>
            <w:r w:rsidR="00876E16" w:rsidRPr="00A91EBD">
              <w:rPr>
                <w:sz w:val="27"/>
                <w:szCs w:val="27"/>
                <w:highlight w:val="white"/>
              </w:rPr>
              <w:t xml:space="preserve"> </w:t>
            </w:r>
            <w:r w:rsidR="00681BB4">
              <w:rPr>
                <w:sz w:val="27"/>
                <w:szCs w:val="27"/>
                <w:highlight w:val="white"/>
              </w:rPr>
              <w:t>отримання в оренду</w:t>
            </w:r>
            <w:r w:rsidRPr="00A91EBD">
              <w:rPr>
                <w:sz w:val="27"/>
                <w:szCs w:val="27"/>
                <w:highlight w:val="white"/>
              </w:rPr>
              <w:t xml:space="preserve"> земель</w:t>
            </w:r>
            <w:r w:rsidR="00876E16" w:rsidRPr="00A91EBD">
              <w:rPr>
                <w:sz w:val="27"/>
                <w:szCs w:val="27"/>
                <w:highlight w:val="white"/>
              </w:rPr>
              <w:t xml:space="preserve">них ділянок </w:t>
            </w:r>
            <w:r w:rsidR="00876E16" w:rsidRPr="00A91EBD">
              <w:rPr>
                <w:sz w:val="27"/>
                <w:szCs w:val="27"/>
              </w:rPr>
              <w:t>постачальникам електронних комунікаційних послуг та/або мереж</w:t>
            </w:r>
            <w:r w:rsidRPr="00A91EBD">
              <w:rPr>
                <w:sz w:val="27"/>
                <w:szCs w:val="27"/>
                <w:highlight w:val="white"/>
              </w:rPr>
              <w:t>, що значно зекономить часові витрати суб’єктів господарювання для подальшого розгортання мобільної мережі.</w:t>
            </w:r>
          </w:p>
          <w:p w:rsidR="00A91EBD" w:rsidRPr="00A91EBD" w:rsidRDefault="00A91EBD" w:rsidP="00876E16">
            <w:pPr>
              <w:ind w:right="31" w:firstLine="461"/>
              <w:jc w:val="both"/>
              <w:rPr>
                <w:sz w:val="27"/>
                <w:szCs w:val="27"/>
                <w:highlight w:val="white"/>
              </w:rPr>
            </w:pP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140"/>
        <w:jc w:val="both"/>
        <w:rPr>
          <w:color w:val="000000"/>
          <w:sz w:val="24"/>
          <w:szCs w:val="24"/>
        </w:rPr>
      </w:pPr>
    </w:p>
    <w:p w:rsidR="00A91EBD" w:rsidRDefault="00A91EBD" w:rsidP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color w:val="000000"/>
          <w:sz w:val="24"/>
          <w:szCs w:val="24"/>
        </w:rPr>
      </w:pPr>
    </w:p>
    <w:p w:rsidR="009A4E2C" w:rsidRDefault="002C629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140" w:firstLine="709"/>
        <w:jc w:val="both"/>
      </w:pPr>
      <w:r>
        <w:rPr>
          <w:color w:val="000000"/>
          <w:sz w:val="28"/>
          <w:szCs w:val="28"/>
        </w:rPr>
        <w:t>Оцінка вибраних альтернативних способів досягнення цілей</w:t>
      </w: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993"/>
        <w:jc w:val="both"/>
        <w:rPr>
          <w:i/>
          <w:color w:val="000000"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993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Оцінка впливу на сферу інтересів держави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tbl>
      <w:tblPr>
        <w:tblStyle w:val="a7"/>
        <w:tblW w:w="9645" w:type="dxa"/>
        <w:tblInd w:w="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6105"/>
        <w:gridCol w:w="1395"/>
      </w:tblGrid>
      <w:tr w:rsidR="009A4E2C">
        <w:trPr>
          <w:trHeight w:val="83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Вид альтернатив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Вигоди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Витрати</w:t>
            </w:r>
          </w:p>
        </w:tc>
      </w:tr>
      <w:tr w:rsidR="009A4E2C">
        <w:trPr>
          <w:trHeight w:val="47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Альтернатива 1:</w:t>
            </w:r>
          </w:p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Відсутні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Відсутні</w:t>
            </w:r>
          </w:p>
        </w:tc>
      </w:tr>
      <w:tr w:rsidR="009A4E2C">
        <w:trPr>
          <w:trHeight w:val="47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lastRenderedPageBreak/>
              <w:t>Альтернатива 2:</w:t>
            </w:r>
          </w:p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прийняття Закону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Default="002C629C" w:rsidP="00EF56EE">
            <w:pPr>
              <w:widowControl/>
              <w:tabs>
                <w:tab w:val="left" w:pos="1406"/>
              </w:tabs>
              <w:jc w:val="both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 xml:space="preserve">Високі, оскільки будуть створені умови для швидкого забезпечення населення доступом до інтернету, що у свою чергу </w:t>
            </w:r>
            <w:proofErr w:type="spellStart"/>
            <w:r w:rsidRPr="00A91EBD">
              <w:rPr>
                <w:sz w:val="27"/>
                <w:szCs w:val="27"/>
              </w:rPr>
              <w:t>надасть</w:t>
            </w:r>
            <w:proofErr w:type="spellEnd"/>
            <w:r w:rsidRPr="00A91EBD">
              <w:rPr>
                <w:sz w:val="27"/>
                <w:szCs w:val="27"/>
              </w:rPr>
              <w:t xml:space="preserve"> можливість зменшити  цифровий розрив в Україні і </w:t>
            </w:r>
            <w:proofErr w:type="spellStart"/>
            <w:r w:rsidRPr="00A91EBD">
              <w:rPr>
                <w:sz w:val="27"/>
                <w:szCs w:val="27"/>
              </w:rPr>
              <w:t>оперативно</w:t>
            </w:r>
            <w:proofErr w:type="spellEnd"/>
            <w:r w:rsidRPr="00A91EBD">
              <w:rPr>
                <w:sz w:val="27"/>
                <w:szCs w:val="27"/>
              </w:rPr>
              <w:t xml:space="preserve"> надавати </w:t>
            </w:r>
            <w:r w:rsidR="00EF56EE" w:rsidRPr="00A91EBD">
              <w:rPr>
                <w:sz w:val="27"/>
                <w:szCs w:val="27"/>
              </w:rPr>
              <w:t>онлайн</w:t>
            </w:r>
            <w:r w:rsidRPr="00A91EBD">
              <w:rPr>
                <w:sz w:val="27"/>
                <w:szCs w:val="27"/>
              </w:rPr>
              <w:t xml:space="preserve"> послуги</w:t>
            </w:r>
          </w:p>
          <w:p w:rsidR="00A91EBD" w:rsidRPr="00A91EBD" w:rsidRDefault="00A91EBD" w:rsidP="00EF56EE">
            <w:pPr>
              <w:widowControl/>
              <w:tabs>
                <w:tab w:val="left" w:pos="1406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</w:rPr>
            </w:pPr>
            <w:r w:rsidRPr="00A91EBD">
              <w:rPr>
                <w:sz w:val="27"/>
                <w:szCs w:val="27"/>
              </w:rPr>
              <w:t>Відсутні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sz w:val="16"/>
          <w:szCs w:val="16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right="140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Оцінка впливу на сферу інтересів громадян</w:t>
      </w:r>
      <w:r>
        <w:rPr>
          <w:color w:val="000000"/>
          <w:sz w:val="28"/>
          <w:szCs w:val="28"/>
        </w:rPr>
        <w:t xml:space="preserve"> 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16"/>
          <w:szCs w:val="16"/>
        </w:rPr>
      </w:pPr>
    </w:p>
    <w:tbl>
      <w:tblPr>
        <w:tblStyle w:val="a8"/>
        <w:tblW w:w="969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2115"/>
        <w:gridCol w:w="3810"/>
        <w:gridCol w:w="3765"/>
      </w:tblGrid>
      <w:tr w:rsidR="009A4E2C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Вид альтернатив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Вигоди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7"/>
                <w:szCs w:val="27"/>
              </w:rPr>
            </w:pPr>
            <w:r w:rsidRPr="00A91EBD">
              <w:rPr>
                <w:color w:val="000000"/>
                <w:sz w:val="27"/>
                <w:szCs w:val="27"/>
              </w:rPr>
              <w:t>Витрати</w:t>
            </w:r>
          </w:p>
        </w:tc>
      </w:tr>
      <w:tr w:rsidR="009A4E2C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Альтернатива 1:</w:t>
            </w:r>
          </w:p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залишити регулювання без змін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Відсутні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030D34" w:rsidRDefault="002C629C" w:rsidP="00876E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both"/>
              <w:rPr>
                <w:color w:val="000000"/>
                <w:sz w:val="26"/>
                <w:szCs w:val="26"/>
              </w:rPr>
            </w:pPr>
            <w:r w:rsidRPr="00030D34">
              <w:rPr>
                <w:sz w:val="26"/>
                <w:szCs w:val="26"/>
              </w:rPr>
              <w:t>Тривале очікування на доступ до мобільного зв'язку</w:t>
            </w:r>
            <w:r w:rsidR="00DB194C" w:rsidRPr="00030D34">
              <w:rPr>
                <w:sz w:val="26"/>
                <w:szCs w:val="26"/>
              </w:rPr>
              <w:t xml:space="preserve"> та інтернету</w:t>
            </w:r>
            <w:r w:rsidRPr="00030D34">
              <w:rPr>
                <w:sz w:val="26"/>
                <w:szCs w:val="26"/>
              </w:rPr>
              <w:t xml:space="preserve">, і як наслідок - низька якість або повна відсутність зв'язку в окремих населених пунктах, відсутність можливості </w:t>
            </w:r>
            <w:r w:rsidR="00876E16" w:rsidRPr="00030D34">
              <w:rPr>
                <w:sz w:val="26"/>
                <w:szCs w:val="26"/>
              </w:rPr>
              <w:t>доступу до онлайн послуг</w:t>
            </w:r>
          </w:p>
        </w:tc>
      </w:tr>
      <w:tr w:rsidR="009A4E2C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Альтернатива 2:</w:t>
            </w:r>
          </w:p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прийняття Закону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Високі, оскільки громадяни швидше будуть забезпечені доступом до мобільного інтернету, що в свою чергу </w:t>
            </w:r>
            <w:proofErr w:type="spellStart"/>
            <w:r w:rsidRPr="00030D34">
              <w:rPr>
                <w:sz w:val="26"/>
                <w:szCs w:val="26"/>
                <w:highlight w:val="white"/>
              </w:rPr>
              <w:t>надасть</w:t>
            </w:r>
            <w:proofErr w:type="spellEnd"/>
            <w:r w:rsidRPr="00030D34">
              <w:rPr>
                <w:sz w:val="26"/>
                <w:szCs w:val="26"/>
                <w:highlight w:val="white"/>
              </w:rPr>
              <w:t xml:space="preserve"> можливість </w:t>
            </w:r>
            <w:proofErr w:type="spellStart"/>
            <w:r w:rsidRPr="00030D34">
              <w:rPr>
                <w:sz w:val="26"/>
                <w:szCs w:val="26"/>
                <w:highlight w:val="white"/>
              </w:rPr>
              <w:t>оперативно</w:t>
            </w:r>
            <w:proofErr w:type="spellEnd"/>
            <w:r w:rsidRPr="00030D34">
              <w:rPr>
                <w:sz w:val="26"/>
                <w:szCs w:val="26"/>
                <w:highlight w:val="white"/>
              </w:rPr>
              <w:t xml:space="preserve"> отримувати соціальні та адміністративні послуги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030D34">
              <w:rPr>
                <w:color w:val="000000"/>
                <w:sz w:val="26"/>
                <w:szCs w:val="26"/>
              </w:rPr>
              <w:t>Відсутні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8"/>
          <w:szCs w:val="28"/>
        </w:rPr>
      </w:pPr>
    </w:p>
    <w:p w:rsidR="00832805" w:rsidRDefault="008328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8"/>
          <w:szCs w:val="28"/>
        </w:rPr>
      </w:pPr>
    </w:p>
    <w:p w:rsidR="00832805" w:rsidRDefault="008328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8"/>
          <w:szCs w:val="28"/>
        </w:rPr>
      </w:pPr>
    </w:p>
    <w:p w:rsidR="00832805" w:rsidRDefault="008328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highlight w:val="white"/>
        </w:rPr>
        <w:t>Оцінка впливу на сферу інтересів суб’єктів господарювання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i/>
          <w:color w:val="000000"/>
          <w:sz w:val="16"/>
          <w:szCs w:val="16"/>
        </w:rPr>
      </w:pPr>
    </w:p>
    <w:tbl>
      <w:tblPr>
        <w:tblStyle w:val="a9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1134"/>
        <w:gridCol w:w="1176"/>
        <w:gridCol w:w="1050"/>
        <w:gridCol w:w="1095"/>
        <w:gridCol w:w="1073"/>
      </w:tblGrid>
      <w:tr w:rsidR="009A4E2C">
        <w:trPr>
          <w:trHeight w:val="306"/>
        </w:trPr>
        <w:tc>
          <w:tcPr>
            <w:tcW w:w="4111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Показник</w:t>
            </w:r>
          </w:p>
        </w:tc>
        <w:tc>
          <w:tcPr>
            <w:tcW w:w="1134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-203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Великі</w:t>
            </w:r>
          </w:p>
        </w:tc>
        <w:tc>
          <w:tcPr>
            <w:tcW w:w="1176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"/>
              </w:tabs>
              <w:ind w:right="-68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Середні</w:t>
            </w:r>
          </w:p>
        </w:tc>
        <w:tc>
          <w:tcPr>
            <w:tcW w:w="1050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4"/>
              </w:tabs>
              <w:ind w:right="-40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Малі</w:t>
            </w:r>
          </w:p>
        </w:tc>
        <w:tc>
          <w:tcPr>
            <w:tcW w:w="1095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</w:tabs>
              <w:ind w:right="-137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Мікро</w:t>
            </w:r>
          </w:p>
        </w:tc>
        <w:tc>
          <w:tcPr>
            <w:tcW w:w="1073" w:type="dxa"/>
            <w:shd w:val="clear" w:color="auto" w:fill="auto"/>
          </w:tcPr>
          <w:p w:rsidR="009A4E2C" w:rsidRPr="00A91EBD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4"/>
              </w:tabs>
              <w:ind w:right="12"/>
              <w:jc w:val="center"/>
              <w:rPr>
                <w:color w:val="000000"/>
                <w:sz w:val="27"/>
                <w:szCs w:val="27"/>
                <w:highlight w:val="white"/>
              </w:rPr>
            </w:pPr>
            <w:r w:rsidRPr="00A91EBD">
              <w:rPr>
                <w:color w:val="000000"/>
                <w:sz w:val="27"/>
                <w:szCs w:val="27"/>
                <w:highlight w:val="white"/>
              </w:rPr>
              <w:t>Разом</w:t>
            </w:r>
          </w:p>
        </w:tc>
      </w:tr>
      <w:tr w:rsidR="009A4E2C">
        <w:trPr>
          <w:trHeight w:val="280"/>
        </w:trPr>
        <w:tc>
          <w:tcPr>
            <w:tcW w:w="4111" w:type="dxa"/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both"/>
              <w:rPr>
                <w:color w:val="000000"/>
                <w:sz w:val="26"/>
                <w:szCs w:val="26"/>
                <w:highlight w:val="white"/>
              </w:rPr>
            </w:pPr>
            <w:r w:rsidRPr="00030D34">
              <w:rPr>
                <w:color w:val="000000"/>
                <w:sz w:val="26"/>
                <w:szCs w:val="26"/>
                <w:highlight w:val="white"/>
              </w:rPr>
              <w:t>Кількість суб’єктів господарювання, які підпадають під дію регулювання, одиниць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9A4E2C" w:rsidRPr="00030D34" w:rsidRDefault="0036640D">
            <w:pPr>
              <w:widowControl/>
              <w:tabs>
                <w:tab w:val="left" w:pos="1406"/>
              </w:tabs>
              <w:ind w:right="-68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3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-77" w:right="-4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0</w:t>
            </w:r>
          </w:p>
        </w:tc>
        <w:tc>
          <w:tcPr>
            <w:tcW w:w="1073" w:type="dxa"/>
            <w:shd w:val="clear" w:color="auto" w:fill="auto"/>
          </w:tcPr>
          <w:p w:rsidR="009A4E2C" w:rsidRPr="00030D34" w:rsidRDefault="003664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-75" w:right="-4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3</w:t>
            </w:r>
          </w:p>
        </w:tc>
      </w:tr>
      <w:tr w:rsidR="009A4E2C">
        <w:trPr>
          <w:trHeight w:val="763"/>
        </w:trPr>
        <w:tc>
          <w:tcPr>
            <w:tcW w:w="4111" w:type="dxa"/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140"/>
              <w:jc w:val="both"/>
              <w:rPr>
                <w:color w:val="000000"/>
                <w:sz w:val="26"/>
                <w:szCs w:val="26"/>
                <w:highlight w:val="white"/>
              </w:rPr>
            </w:pPr>
            <w:r w:rsidRPr="00030D34">
              <w:rPr>
                <w:color w:val="000000"/>
                <w:sz w:val="26"/>
                <w:szCs w:val="26"/>
                <w:highlight w:val="white"/>
              </w:rPr>
              <w:t>Питома вага групи у загальній кількості, відсотків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-68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100%</w:t>
            </w:r>
          </w:p>
        </w:tc>
        <w:tc>
          <w:tcPr>
            <w:tcW w:w="2145" w:type="dxa"/>
            <w:gridSpan w:val="2"/>
            <w:shd w:val="clear" w:color="auto" w:fill="auto"/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-77" w:right="-4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0%</w:t>
            </w:r>
          </w:p>
        </w:tc>
        <w:tc>
          <w:tcPr>
            <w:tcW w:w="1073" w:type="dxa"/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right="-68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100%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</w:rPr>
      </w:pPr>
    </w:p>
    <w:p w:rsidR="00832805" w:rsidRDefault="008328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</w:rPr>
      </w:pPr>
    </w:p>
    <w:p w:rsidR="00832805" w:rsidRDefault="008328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</w:rPr>
      </w:pPr>
    </w:p>
    <w:p w:rsidR="00832805" w:rsidRDefault="008328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8"/>
          <w:szCs w:val="28"/>
        </w:rPr>
      </w:pPr>
    </w:p>
    <w:p w:rsidR="009A4E2C" w:rsidRDefault="002C629C">
      <w:pPr>
        <w:widowControl/>
        <w:tabs>
          <w:tab w:val="left" w:pos="1406"/>
        </w:tabs>
        <w:jc w:val="center"/>
        <w:rPr>
          <w:b/>
          <w:sz w:val="28"/>
          <w:szCs w:val="28"/>
          <w:highlight w:val="white"/>
        </w:rPr>
      </w:pPr>
      <w:bookmarkStart w:id="2" w:name="_s6wlkrcv255q" w:colFirst="0" w:colLast="0"/>
      <w:bookmarkStart w:id="3" w:name="_vyhfso6pp4mr" w:colFirst="0" w:colLast="0"/>
      <w:bookmarkEnd w:id="2"/>
      <w:bookmarkEnd w:id="3"/>
      <w:r>
        <w:rPr>
          <w:b/>
          <w:sz w:val="28"/>
          <w:szCs w:val="28"/>
          <w:highlight w:val="white"/>
        </w:rPr>
        <w:lastRenderedPageBreak/>
        <w:t>ВИТРАТИ</w:t>
      </w:r>
    </w:p>
    <w:p w:rsidR="009A4E2C" w:rsidRDefault="002C629C">
      <w:pPr>
        <w:widowControl/>
        <w:tabs>
          <w:tab w:val="left" w:pos="1406"/>
        </w:tabs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на одного суб’єкта господарювання великого і середнього підприємництва, які виникають внаслідок дії регуляторного акта</w:t>
      </w:r>
    </w:p>
    <w:p w:rsidR="009A4E2C" w:rsidRDefault="002C629C">
      <w:pPr>
        <w:widowControl/>
        <w:tabs>
          <w:tab w:val="left" w:pos="1406"/>
        </w:tabs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 </w:t>
      </w:r>
    </w:p>
    <w:tbl>
      <w:tblPr>
        <w:tblStyle w:val="aa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4111"/>
        <w:gridCol w:w="2143"/>
        <w:gridCol w:w="1680"/>
      </w:tblGrid>
      <w:tr w:rsidR="009A4E2C" w:rsidTr="00030D34">
        <w:trPr>
          <w:trHeight w:val="45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Порядковий номер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Витрати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За перший рік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За п’ять років</w:t>
            </w:r>
          </w:p>
        </w:tc>
      </w:tr>
      <w:tr w:rsidR="009A4E2C" w:rsidTr="00030D34">
        <w:trPr>
          <w:trHeight w:val="16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відсутні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відсутні</w:t>
            </w:r>
          </w:p>
        </w:tc>
      </w:tr>
      <w:tr w:rsidR="009A4E2C" w:rsidTr="00030D34">
        <w:trPr>
          <w:trHeight w:val="11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A91EBD">
            <w:pPr>
              <w:widowControl/>
              <w:tabs>
                <w:tab w:val="left" w:pos="1540"/>
              </w:tabs>
              <w:ind w:left="20" w:right="-44" w:hanging="2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A91EBD">
            <w:pPr>
              <w:widowControl/>
              <w:tabs>
                <w:tab w:val="left" w:pos="1540"/>
              </w:tabs>
              <w:ind w:left="20" w:right="-44" w:hanging="2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11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14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Витрати, пов’язані з адмініструванням заходів державного нагляду (контролю) (перевірок, штрафних санкцій, виконання рішень/приписів тощо),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54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26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8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відсутні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690"/>
              </w:tabs>
              <w:ind w:left="20" w:right="-4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відсутні</w:t>
            </w:r>
          </w:p>
        </w:tc>
      </w:tr>
      <w:tr w:rsidR="009A4E2C" w:rsidTr="00030D34">
        <w:trPr>
          <w:trHeight w:val="8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Витрати, пов’язані із </w:t>
            </w:r>
            <w:proofErr w:type="spellStart"/>
            <w:r w:rsidRPr="00030D34">
              <w:rPr>
                <w:sz w:val="26"/>
                <w:szCs w:val="26"/>
                <w:highlight w:val="white"/>
              </w:rPr>
              <w:t>наймом</w:t>
            </w:r>
            <w:proofErr w:type="spellEnd"/>
            <w:r w:rsidRPr="00030D34">
              <w:rPr>
                <w:sz w:val="26"/>
                <w:szCs w:val="26"/>
                <w:highlight w:val="white"/>
              </w:rPr>
              <w:t xml:space="preserve"> додаткового персоналу,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A91EBD">
            <w:pPr>
              <w:widowControl/>
              <w:tabs>
                <w:tab w:val="left" w:pos="1525"/>
              </w:tabs>
              <w:ind w:left="-93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A91EBD">
            <w:pPr>
              <w:widowControl/>
              <w:tabs>
                <w:tab w:val="left" w:pos="1480"/>
              </w:tabs>
              <w:ind w:right="-104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  <w:tr w:rsidR="009A4E2C" w:rsidTr="00030D34">
        <w:trPr>
          <w:trHeight w:val="59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Інше (уточнити),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-</w:t>
            </w:r>
          </w:p>
        </w:tc>
      </w:tr>
      <w:tr w:rsidR="009A4E2C" w:rsidTr="00030D34">
        <w:trPr>
          <w:trHeight w:val="66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РАЗОМ (сума рядків: 1 + 2 + 3 + 4 + 5 + 6 + 7 + 8),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-</w:t>
            </w:r>
          </w:p>
        </w:tc>
      </w:tr>
      <w:tr w:rsidR="009A4E2C" w:rsidTr="00030D34">
        <w:trPr>
          <w:trHeight w:val="6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 w:rsidP="0036640D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суб’єкти великого підприємництва - </w:t>
            </w:r>
            <w:r w:rsidR="0036640D" w:rsidRPr="00030D34">
              <w:rPr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 </w:t>
            </w:r>
          </w:p>
        </w:tc>
      </w:tr>
      <w:tr w:rsidR="009A4E2C" w:rsidTr="00030D34">
        <w:trPr>
          <w:trHeight w:val="7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 відсутні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left="20" w:right="100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 відсутні </w:t>
            </w:r>
          </w:p>
        </w:tc>
      </w:tr>
    </w:tbl>
    <w:p w:rsidR="009A4E2C" w:rsidRDefault="009A4E2C">
      <w:pPr>
        <w:widowControl/>
        <w:tabs>
          <w:tab w:val="left" w:pos="1406"/>
        </w:tabs>
        <w:ind w:firstLine="720"/>
        <w:jc w:val="both"/>
        <w:rPr>
          <w:sz w:val="26"/>
          <w:szCs w:val="26"/>
          <w:highlight w:val="white"/>
        </w:rPr>
      </w:pPr>
    </w:p>
    <w:p w:rsidR="009A4E2C" w:rsidRDefault="002C629C">
      <w:pPr>
        <w:widowControl/>
        <w:tabs>
          <w:tab w:val="left" w:pos="1406"/>
        </w:tabs>
        <w:ind w:firstLine="720"/>
        <w:jc w:val="center"/>
        <w:rPr>
          <w:sz w:val="28"/>
          <w:szCs w:val="28"/>
          <w:highlight w:val="white"/>
        </w:rPr>
      </w:pPr>
      <w:bookmarkStart w:id="4" w:name="_vgxqn4hk3mmz" w:colFirst="0" w:colLast="0"/>
      <w:bookmarkEnd w:id="4"/>
      <w:r>
        <w:rPr>
          <w:sz w:val="28"/>
          <w:szCs w:val="28"/>
          <w:highlight w:val="white"/>
        </w:rPr>
        <w:t>Розрахунок відповідних витрат на одного суб’єкта господарювання</w:t>
      </w:r>
    </w:p>
    <w:p w:rsidR="009A4E2C" w:rsidRDefault="002C629C">
      <w:pPr>
        <w:widowControl/>
        <w:tabs>
          <w:tab w:val="left" w:pos="1406"/>
        </w:tabs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tbl>
      <w:tblPr>
        <w:tblStyle w:val="ab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770"/>
        <w:gridCol w:w="1665"/>
        <w:gridCol w:w="1875"/>
      </w:tblGrid>
      <w:tr w:rsidR="009A4E2C" w:rsidRPr="00A91EBD">
        <w:trPr>
          <w:trHeight w:val="89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У перший рік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Періодичні (за рік)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>
        <w:trPr>
          <w:trHeight w:val="179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</w:tbl>
    <w:p w:rsidR="00A91EBD" w:rsidRPr="00A91EBD" w:rsidRDefault="00A91EBD">
      <w:pPr>
        <w:widowControl/>
        <w:tabs>
          <w:tab w:val="left" w:pos="1406"/>
        </w:tabs>
        <w:jc w:val="both"/>
        <w:rPr>
          <w:sz w:val="26"/>
          <w:szCs w:val="26"/>
          <w:highlight w:val="white"/>
        </w:rPr>
      </w:pPr>
    </w:p>
    <w:tbl>
      <w:tblPr>
        <w:tblStyle w:val="ac"/>
        <w:tblW w:w="9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6"/>
        <w:gridCol w:w="3530"/>
        <w:gridCol w:w="1988"/>
      </w:tblGrid>
      <w:tr w:rsidR="009A4E2C" w:rsidRPr="00A91EBD">
        <w:trPr>
          <w:trHeight w:val="1080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Витрати на сплату податків та зборів (змінених/ нововведених) (за рік)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A91EBD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A91EBD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>
        <w:trPr>
          <w:trHeight w:val="1490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</w:tbl>
    <w:p w:rsidR="00A91EBD" w:rsidRPr="00A91EBD" w:rsidRDefault="00A91EBD">
      <w:pPr>
        <w:widowControl/>
        <w:tabs>
          <w:tab w:val="left" w:pos="1406"/>
        </w:tabs>
        <w:jc w:val="both"/>
        <w:rPr>
          <w:sz w:val="26"/>
          <w:szCs w:val="26"/>
          <w:highlight w:val="white"/>
        </w:rPr>
      </w:pPr>
      <w:bookmarkStart w:id="5" w:name="_e2xyhjn16rtm" w:colFirst="0" w:colLast="0"/>
      <w:bookmarkEnd w:id="5"/>
    </w:p>
    <w:tbl>
      <w:tblPr>
        <w:tblStyle w:val="ad"/>
        <w:tblW w:w="9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9"/>
        <w:gridCol w:w="1842"/>
        <w:gridCol w:w="1701"/>
        <w:gridCol w:w="1701"/>
        <w:gridCol w:w="1702"/>
      </w:tblGrid>
      <w:tr w:rsidR="009A4E2C" w:rsidRPr="00A91EBD" w:rsidTr="00A91EBD">
        <w:trPr>
          <w:trHeight w:val="207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lastRenderedPageBreak/>
              <w:t>Вид витрат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EBD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 на ведення обліку, підготовку </w:t>
            </w:r>
          </w:p>
          <w:p w:rsidR="00A91EBD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та подання звітності </w:t>
            </w:r>
          </w:p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(за рік)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EBD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 на оплату штрафних санкцій </w:t>
            </w:r>
          </w:p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за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Разом за рік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за п’ять років</w:t>
            </w:r>
          </w:p>
        </w:tc>
      </w:tr>
      <w:tr w:rsidR="009A4E2C" w:rsidRPr="00A91EBD" w:rsidTr="00030D34">
        <w:trPr>
          <w:trHeight w:val="207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</w:t>
            </w:r>
          </w:p>
        </w:tc>
      </w:tr>
    </w:tbl>
    <w:p w:rsidR="009A4E2C" w:rsidRDefault="009A4E2C">
      <w:pPr>
        <w:widowControl/>
        <w:tabs>
          <w:tab w:val="left" w:pos="1406"/>
        </w:tabs>
        <w:jc w:val="both"/>
        <w:rPr>
          <w:sz w:val="28"/>
          <w:szCs w:val="28"/>
          <w:highlight w:val="white"/>
        </w:rPr>
      </w:pPr>
    </w:p>
    <w:p w:rsidR="00427A59" w:rsidRDefault="00427A59">
      <w:pPr>
        <w:widowControl/>
        <w:tabs>
          <w:tab w:val="left" w:pos="1406"/>
        </w:tabs>
        <w:jc w:val="both"/>
        <w:rPr>
          <w:sz w:val="28"/>
          <w:szCs w:val="28"/>
          <w:highlight w:val="white"/>
        </w:rPr>
      </w:pPr>
    </w:p>
    <w:tbl>
      <w:tblPr>
        <w:tblStyle w:val="ae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1984"/>
        <w:gridCol w:w="1701"/>
        <w:gridCol w:w="1701"/>
        <w:gridCol w:w="1704"/>
      </w:tblGrid>
      <w:tr w:rsidR="009A4E2C" w:rsidRPr="00A91EBD" w:rsidTr="00030D34">
        <w:trPr>
          <w:trHeight w:val="250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A59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 xml:space="preserve">Витрати на адміністрування заходів державного нагляду (контролю) </w:t>
            </w:r>
          </w:p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(за рік)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Разом за рік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 w:rsidTr="00030D34">
        <w:trPr>
          <w:trHeight w:val="23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both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не передбачені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не передбачені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не передбачені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6"/>
          <w:szCs w:val="26"/>
          <w:highlight w:val="white"/>
        </w:rPr>
      </w:pPr>
    </w:p>
    <w:p w:rsidR="00A91EBD" w:rsidRP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6"/>
          <w:szCs w:val="26"/>
          <w:highlight w:val="white"/>
        </w:rPr>
      </w:pPr>
    </w:p>
    <w:tbl>
      <w:tblPr>
        <w:tblStyle w:val="af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2127"/>
        <w:gridCol w:w="2126"/>
        <w:gridCol w:w="1704"/>
        <w:gridCol w:w="1410"/>
      </w:tblGrid>
      <w:tr w:rsidR="009A4E2C" w:rsidRPr="00427A59" w:rsidTr="00427A59">
        <w:trPr>
          <w:trHeight w:val="225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безпосередньо на дозволи, ліцензії, серти</w:t>
            </w:r>
            <w:r w:rsidR="00427A59">
              <w:rPr>
                <w:sz w:val="27"/>
                <w:szCs w:val="27"/>
                <w:highlight w:val="white"/>
              </w:rPr>
              <w:t xml:space="preserve">фікати, страхові поліси (за рік </w:t>
            </w:r>
            <w:r w:rsidRPr="00427A59">
              <w:rPr>
                <w:sz w:val="27"/>
                <w:szCs w:val="27"/>
                <w:highlight w:val="white"/>
              </w:rPr>
              <w:t>- стартовий)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Разом за рік (стартовий)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427A59" w:rsidTr="00427A59">
        <w:trPr>
          <w:trHeight w:val="109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bookmarkStart w:id="6" w:name="_7mt8lgvklv7n" w:colFirst="0" w:colLast="0"/>
            <w:bookmarkEnd w:id="6"/>
            <w:r w:rsidRPr="00030D34">
              <w:rPr>
                <w:sz w:val="26"/>
                <w:szCs w:val="26"/>
                <w:highlight w:val="white"/>
              </w:rPr>
              <w:lastRenderedPageBreak/>
              <w:t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Відсутні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Відсутні</w:t>
            </w:r>
          </w:p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Відсутні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Відсутні</w:t>
            </w:r>
          </w:p>
        </w:tc>
      </w:tr>
    </w:tbl>
    <w:p w:rsidR="009A4E2C" w:rsidRDefault="009A4E2C">
      <w:pPr>
        <w:widowControl/>
        <w:tabs>
          <w:tab w:val="left" w:pos="1406"/>
        </w:tabs>
        <w:jc w:val="both"/>
        <w:rPr>
          <w:sz w:val="26"/>
          <w:szCs w:val="26"/>
          <w:highlight w:val="white"/>
        </w:rPr>
      </w:pPr>
      <w:bookmarkStart w:id="7" w:name="_x4xp565rxkda" w:colFirst="0" w:colLast="0"/>
      <w:bookmarkEnd w:id="7"/>
    </w:p>
    <w:p w:rsidR="00427A59" w:rsidRPr="00A91EBD" w:rsidRDefault="00427A59">
      <w:pPr>
        <w:widowControl/>
        <w:tabs>
          <w:tab w:val="left" w:pos="1406"/>
        </w:tabs>
        <w:jc w:val="both"/>
        <w:rPr>
          <w:sz w:val="26"/>
          <w:szCs w:val="26"/>
          <w:highlight w:val="white"/>
        </w:rPr>
      </w:pPr>
    </w:p>
    <w:tbl>
      <w:tblPr>
        <w:tblStyle w:val="af0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1770"/>
        <w:gridCol w:w="2580"/>
        <w:gridCol w:w="2730"/>
      </w:tblGrid>
      <w:tr w:rsidR="009A4E2C" w:rsidRPr="00A91EBD">
        <w:trPr>
          <w:trHeight w:val="89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За рік (стартовий)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EBD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 xml:space="preserve">Періодичні </w:t>
            </w:r>
          </w:p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(за наступний рік)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>
        <w:trPr>
          <w:trHeight w:val="179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відсутні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відсутні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відсутні 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6"/>
          <w:szCs w:val="26"/>
          <w:highlight w:val="white"/>
        </w:rPr>
      </w:pPr>
      <w:bookmarkStart w:id="8" w:name="_tdp6uvway7ux" w:colFirst="0" w:colLast="0"/>
      <w:bookmarkEnd w:id="8"/>
    </w:p>
    <w:p w:rsidR="00427A59" w:rsidRPr="00A91EBD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6"/>
          <w:szCs w:val="26"/>
          <w:highlight w:val="white"/>
        </w:rPr>
      </w:pPr>
    </w:p>
    <w:tbl>
      <w:tblPr>
        <w:tblStyle w:val="af1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9"/>
        <w:gridCol w:w="3470"/>
        <w:gridCol w:w="3499"/>
      </w:tblGrid>
      <w:tr w:rsidR="009A4E2C" w:rsidRPr="00A91EBD">
        <w:trPr>
          <w:trHeight w:val="119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Вид витрат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на оплату праці додатково найманого персоналу (за рік)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427A59" w:rsidRDefault="002C629C">
            <w:pPr>
              <w:widowControl/>
              <w:tabs>
                <w:tab w:val="left" w:pos="1406"/>
              </w:tabs>
              <w:ind w:right="100"/>
              <w:jc w:val="center"/>
              <w:rPr>
                <w:sz w:val="27"/>
                <w:szCs w:val="27"/>
                <w:highlight w:val="white"/>
              </w:rPr>
            </w:pPr>
            <w:r w:rsidRPr="00427A59">
              <w:rPr>
                <w:sz w:val="27"/>
                <w:szCs w:val="27"/>
                <w:highlight w:val="white"/>
              </w:rPr>
              <w:t>Витрати за п’ять років</w:t>
            </w:r>
          </w:p>
        </w:tc>
      </w:tr>
      <w:tr w:rsidR="009A4E2C" w:rsidRPr="00A91EBD">
        <w:trPr>
          <w:trHeight w:val="1490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Витрати, пов’язані із </w:t>
            </w:r>
            <w:proofErr w:type="spellStart"/>
            <w:r w:rsidRPr="00030D34">
              <w:rPr>
                <w:sz w:val="26"/>
                <w:szCs w:val="26"/>
                <w:highlight w:val="white"/>
              </w:rPr>
              <w:t>наймом</w:t>
            </w:r>
            <w:proofErr w:type="spellEnd"/>
            <w:r w:rsidRPr="00030D34">
              <w:rPr>
                <w:sz w:val="26"/>
                <w:szCs w:val="26"/>
                <w:highlight w:val="white"/>
              </w:rPr>
              <w:t xml:space="preserve"> додаткового персоналу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>не передбачені, процедура отримання в оренду земельної ділянки не потребує найму додаткового персоналу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E2C" w:rsidRPr="00030D34" w:rsidRDefault="002C629C">
            <w:pPr>
              <w:widowControl/>
              <w:tabs>
                <w:tab w:val="left" w:pos="1406"/>
              </w:tabs>
              <w:ind w:right="100"/>
              <w:jc w:val="both"/>
              <w:rPr>
                <w:sz w:val="26"/>
                <w:szCs w:val="26"/>
                <w:highlight w:val="white"/>
              </w:rPr>
            </w:pPr>
            <w:bookmarkStart w:id="9" w:name="_30j0zll" w:colFirst="0" w:colLast="0"/>
            <w:bookmarkEnd w:id="9"/>
            <w:r w:rsidRPr="00030D34">
              <w:rPr>
                <w:sz w:val="26"/>
                <w:szCs w:val="26"/>
                <w:highlight w:val="white"/>
              </w:rPr>
              <w:t>не передбачені, процедура отримання в оренду земельної ділянки не потребує найму додаткового персоналу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/>
        <w:jc w:val="both"/>
        <w:rPr>
          <w:color w:val="000000"/>
          <w:sz w:val="26"/>
          <w:szCs w:val="26"/>
        </w:rPr>
      </w:pPr>
    </w:p>
    <w:p w:rsidR="00427A59" w:rsidRPr="007D29EB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/>
        <w:jc w:val="both"/>
        <w:rPr>
          <w:color w:val="000000"/>
          <w:sz w:val="8"/>
          <w:szCs w:val="26"/>
        </w:rPr>
      </w:pPr>
    </w:p>
    <w:p w:rsidR="00427A59" w:rsidRPr="00A91EBD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/>
        <w:jc w:val="both"/>
        <w:rPr>
          <w:color w:val="000000"/>
          <w:sz w:val="26"/>
          <w:szCs w:val="26"/>
        </w:rPr>
      </w:pPr>
    </w:p>
    <w:tbl>
      <w:tblPr>
        <w:tblStyle w:val="af2"/>
        <w:tblW w:w="9615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2145"/>
        <w:gridCol w:w="4170"/>
        <w:gridCol w:w="3300"/>
      </w:tblGrid>
      <w:tr w:rsidR="009A4E2C" w:rsidRPr="00A91EBD">
        <w:trPr>
          <w:trHeight w:val="22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 Вид альтернатив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10" w:right="33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Вигоди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Витрати</w:t>
            </w:r>
          </w:p>
        </w:tc>
      </w:tr>
      <w:tr w:rsidR="009A4E2C" w:rsidRPr="00A91EBD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Альтернатива 1:</w:t>
            </w:r>
          </w:p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залишити регулювання без змін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Відсутні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b/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Наявн</w:t>
            </w:r>
            <w:r w:rsidRPr="00030D34">
              <w:rPr>
                <w:sz w:val="26"/>
                <w:szCs w:val="26"/>
              </w:rPr>
              <w:t>і, оскільки часові витрати та процедура виділення земельної ділянки лишаються тривалими</w:t>
            </w:r>
          </w:p>
        </w:tc>
      </w:tr>
      <w:tr w:rsidR="009A4E2C" w:rsidRPr="00A91EBD">
        <w:trPr>
          <w:trHeight w:val="69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Альтернатива 2:</w:t>
            </w:r>
          </w:p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прийняття Закону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ind w:left="10" w:right="33"/>
              <w:jc w:val="center"/>
              <w:rPr>
                <w:sz w:val="26"/>
                <w:szCs w:val="26"/>
                <w:highlight w:val="white"/>
              </w:rPr>
            </w:pPr>
            <w:r w:rsidRPr="00030D34">
              <w:rPr>
                <w:sz w:val="26"/>
                <w:szCs w:val="26"/>
                <w:highlight w:val="white"/>
              </w:rPr>
              <w:t xml:space="preserve">Високі, оскільки буде скорочено час на оформлення права користування земельною ділянкою для розміщення на ній </w:t>
            </w:r>
            <w:r w:rsidR="0036640D" w:rsidRPr="00030D34">
              <w:rPr>
                <w:sz w:val="26"/>
                <w:szCs w:val="26"/>
                <w:lang w:eastAsia="uk-UA"/>
              </w:rPr>
              <w:t>об'єктів цифрової інфраструктури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030D34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33"/>
              <w:jc w:val="center"/>
              <w:rPr>
                <w:color w:val="000000"/>
                <w:sz w:val="26"/>
                <w:szCs w:val="26"/>
              </w:rPr>
            </w:pPr>
            <w:r w:rsidRPr="00030D34">
              <w:rPr>
                <w:color w:val="000000"/>
                <w:sz w:val="26"/>
                <w:szCs w:val="26"/>
              </w:rPr>
              <w:t>Відсутні</w:t>
            </w:r>
          </w:p>
        </w:tc>
      </w:tr>
    </w:tbl>
    <w:p w:rsidR="00A91EBD" w:rsidRDefault="00A91EB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9"/>
        <w:jc w:val="both"/>
        <w:rPr>
          <w:color w:val="000000"/>
          <w:sz w:val="28"/>
          <w:szCs w:val="28"/>
          <w:highlight w:val="white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Витрати внаслідок дії регуляторного акта для суб’єктів господарювання виникати не будуть, оскільки буде скорочено час </w:t>
      </w:r>
      <w:r w:rsidR="007D29EB">
        <w:rPr>
          <w:color w:val="000000"/>
          <w:sz w:val="28"/>
          <w:szCs w:val="28"/>
          <w:highlight w:val="white"/>
        </w:rPr>
        <w:t>отримання</w:t>
      </w:r>
      <w:r>
        <w:rPr>
          <w:color w:val="000000"/>
          <w:sz w:val="28"/>
          <w:szCs w:val="28"/>
          <w:highlight w:val="white"/>
        </w:rPr>
        <w:t xml:space="preserve"> права користування земельною ділянкою для розміщення на ній </w:t>
      </w:r>
      <w:r w:rsidR="0036640D" w:rsidRPr="009A50BF">
        <w:rPr>
          <w:sz w:val="28"/>
          <w:szCs w:val="28"/>
          <w:lang w:eastAsia="uk-UA"/>
        </w:rPr>
        <w:t>об'єктів цифрової інфраструктури</w:t>
      </w:r>
      <w:r>
        <w:rPr>
          <w:color w:val="000000"/>
          <w:sz w:val="28"/>
          <w:szCs w:val="28"/>
          <w:highlight w:val="white"/>
        </w:rPr>
        <w:t>.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5"/>
        <w:jc w:val="both"/>
        <w:rPr>
          <w:sz w:val="28"/>
          <w:szCs w:val="28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" w:firstLine="705"/>
        <w:jc w:val="both"/>
        <w:rPr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IV. Вибір найбільш оптимального альтернативного способу досягнення цілей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Здійсн</w:t>
      </w:r>
      <w:r>
        <w:rPr>
          <w:sz w:val="28"/>
          <w:szCs w:val="28"/>
        </w:rPr>
        <w:t>ення</w:t>
      </w:r>
      <w:r>
        <w:rPr>
          <w:color w:val="000000"/>
          <w:sz w:val="28"/>
          <w:szCs w:val="28"/>
        </w:rPr>
        <w:t xml:space="preserve"> виб</w:t>
      </w:r>
      <w:r>
        <w:rPr>
          <w:sz w:val="28"/>
          <w:szCs w:val="28"/>
        </w:rPr>
        <w:t>ору</w:t>
      </w:r>
      <w:r>
        <w:rPr>
          <w:color w:val="000000"/>
          <w:sz w:val="28"/>
          <w:szCs w:val="28"/>
        </w:rPr>
        <w:t xml:space="preserve"> оптимального альтернативного способу з урахуванням системи бальної оцінки ступеня досягнення визначених цілей.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Вартість </w:t>
      </w:r>
      <w:r>
        <w:rPr>
          <w:color w:val="000000"/>
          <w:sz w:val="28"/>
          <w:szCs w:val="28"/>
          <w:highlight w:val="white"/>
        </w:rPr>
        <w:t>балів визначається за чотирибальною системою оцінки ступеня досягнення визначених цілей, де: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1) цілі прийняття Закону, які не можуть бути досягнуті (проблема продовжує існувати);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2) цілі прийняття Закону,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3) цілі прийняття Закону, які можуть бути досягнуті майже  повною мірою (усі важливі аспекти проблеми існувати не будуть);</w:t>
      </w: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4) цілі прийняття Закону, які можуть бути досягнуті повною мірою (проблема більше існувати не буде).</w:t>
      </w: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tbl>
      <w:tblPr>
        <w:tblStyle w:val="af3"/>
        <w:tblW w:w="9630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2820"/>
        <w:gridCol w:w="2325"/>
        <w:gridCol w:w="4485"/>
      </w:tblGrid>
      <w:tr w:rsidR="009A4E2C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27" w:right="-117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Рейтинг результативності (досягнення цілей 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27" w:right="-117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під час вирішення проблеми)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05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Бал результативності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105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(за чотирибальною системою оцінки)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Коментарі щодо присвоєння відповідного </w:t>
            </w:r>
            <w:proofErr w:type="spellStart"/>
            <w:r w:rsidRPr="00427A59">
              <w:rPr>
                <w:color w:val="000000"/>
                <w:sz w:val="27"/>
                <w:szCs w:val="27"/>
              </w:rPr>
              <w:t>бала</w:t>
            </w:r>
            <w:proofErr w:type="spellEnd"/>
          </w:p>
        </w:tc>
      </w:tr>
      <w:tr w:rsidR="009A4E2C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1: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 w:rsidP="007D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Проблема продовжить існувати, оскіль</w:t>
            </w:r>
            <w:r w:rsidRPr="00427A59">
              <w:rPr>
                <w:sz w:val="27"/>
                <w:szCs w:val="27"/>
              </w:rPr>
              <w:t xml:space="preserve">ки </w:t>
            </w:r>
            <w:r w:rsidR="00A53323" w:rsidRPr="00427A59">
              <w:rPr>
                <w:sz w:val="27"/>
                <w:szCs w:val="27"/>
              </w:rPr>
              <w:t xml:space="preserve">постачальники електронних комунікаційних послуг та/або мереж </w:t>
            </w:r>
            <w:r w:rsidRPr="00427A59">
              <w:rPr>
                <w:sz w:val="27"/>
                <w:szCs w:val="27"/>
              </w:rPr>
              <w:t xml:space="preserve">продовжуватимуть витрачати </w:t>
            </w:r>
            <w:r w:rsidR="007D29EB">
              <w:rPr>
                <w:sz w:val="27"/>
                <w:szCs w:val="27"/>
              </w:rPr>
              <w:t>тривалий</w:t>
            </w:r>
            <w:r w:rsidRPr="00427A59">
              <w:rPr>
                <w:sz w:val="27"/>
                <w:szCs w:val="27"/>
              </w:rPr>
              <w:t xml:space="preserve"> час для </w:t>
            </w:r>
            <w:r w:rsidRPr="00427A59">
              <w:rPr>
                <w:sz w:val="27"/>
                <w:szCs w:val="27"/>
              </w:rPr>
              <w:lastRenderedPageBreak/>
              <w:t>отримання в оренду земельних ділянок</w:t>
            </w:r>
          </w:p>
        </w:tc>
      </w:tr>
      <w:tr w:rsidR="009A4E2C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lastRenderedPageBreak/>
              <w:t>Альтернатива 2: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прийняття Закону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Зазначений спосіб дає змогу </w:t>
            </w:r>
            <w:r w:rsidRPr="00427A59">
              <w:rPr>
                <w:sz w:val="27"/>
                <w:szCs w:val="27"/>
              </w:rPr>
              <w:t xml:space="preserve">скоротити часові витрати </w:t>
            </w:r>
            <w:r w:rsidR="00A53323" w:rsidRPr="00427A59">
              <w:rPr>
                <w:sz w:val="27"/>
                <w:szCs w:val="27"/>
              </w:rPr>
              <w:t xml:space="preserve">постачальників електронних комунікаційних послуг та/або мереж </w:t>
            </w:r>
            <w:r w:rsidRPr="00427A59">
              <w:rPr>
                <w:sz w:val="27"/>
                <w:szCs w:val="27"/>
              </w:rPr>
              <w:t xml:space="preserve">на розгортання мобільної мережі. Тому цілі прийняття регуляторного акта можуть бути досягнуті повною мірою 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p w:rsidR="00427A59" w:rsidRPr="007D29EB" w:rsidRDefault="00427A5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16"/>
          <w:szCs w:val="24"/>
        </w:rPr>
      </w:pPr>
    </w:p>
    <w:p w:rsidR="00030D34" w:rsidRDefault="00030D3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tbl>
      <w:tblPr>
        <w:tblStyle w:val="af4"/>
        <w:tblW w:w="96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2457"/>
        <w:gridCol w:w="2625"/>
        <w:gridCol w:w="2325"/>
      </w:tblGrid>
      <w:tr w:rsidR="009A4E2C" w:rsidTr="00427A59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 w:rsidP="00427A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Рейтинг результативності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Вигоди (підсумок)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4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Витрати (підсумок)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6"/>
              </w:tabs>
              <w:ind w:left="34" w:right="140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Обґрунтування відповідного місця альтернативи у рейтингу</w:t>
            </w:r>
          </w:p>
        </w:tc>
      </w:tr>
      <w:tr w:rsidR="009A4E2C" w:rsidTr="00427A59">
        <w:trPr>
          <w:trHeight w:val="8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1: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Відсутні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jc w:val="center"/>
              <w:rPr>
                <w:b/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t xml:space="preserve">Подальші надмірні часові витрати </w:t>
            </w:r>
            <w:r w:rsidR="00A53323" w:rsidRPr="00427A59">
              <w:rPr>
                <w:sz w:val="27"/>
                <w:szCs w:val="27"/>
              </w:rPr>
              <w:t xml:space="preserve">постачальників електронних комунікаційних послуг та/або мереж </w:t>
            </w:r>
            <w:r w:rsidRPr="00427A59">
              <w:rPr>
                <w:sz w:val="27"/>
                <w:szCs w:val="27"/>
              </w:rPr>
              <w:t xml:space="preserve">на отримання права користування земельними ділянками для розгортання мобільної мережі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ind w:left="34" w:right="140"/>
              <w:jc w:val="center"/>
              <w:rPr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t>Альтернатива 1 не сприятиме вирішенню проблеми, тому вибір даної альтернативи не є можливим</w:t>
            </w:r>
          </w:p>
        </w:tc>
      </w:tr>
      <w:tr w:rsidR="009A4E2C" w:rsidTr="00427A59">
        <w:trPr>
          <w:trHeight w:val="8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2: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прийняття Закону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 w:rsidP="007D29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77" w:firstLine="105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Створюються правові підстави для скорочення терміну отримання </w:t>
            </w:r>
            <w:r w:rsidR="00A53323" w:rsidRPr="00427A59">
              <w:rPr>
                <w:sz w:val="27"/>
                <w:szCs w:val="27"/>
              </w:rPr>
              <w:t>постачальниками електронних комунікаційних послуг та/або мереж</w:t>
            </w:r>
            <w:r w:rsidR="00A53323" w:rsidRPr="00427A59">
              <w:rPr>
                <w:color w:val="000000"/>
                <w:sz w:val="27"/>
                <w:szCs w:val="27"/>
              </w:rPr>
              <w:t xml:space="preserve"> </w:t>
            </w:r>
            <w:r w:rsidRPr="00427A59">
              <w:rPr>
                <w:color w:val="000000"/>
                <w:sz w:val="27"/>
                <w:szCs w:val="27"/>
              </w:rPr>
              <w:t xml:space="preserve">земельних ділянок для розміщення на них </w:t>
            </w:r>
            <w:r w:rsidR="00DB194C" w:rsidRPr="00427A59">
              <w:rPr>
                <w:sz w:val="27"/>
                <w:szCs w:val="27"/>
              </w:rPr>
              <w:t>об’єктів цифрової інфраструктури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ind w:left="34" w:right="140"/>
              <w:jc w:val="center"/>
              <w:rPr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t>Відсутні</w:t>
            </w:r>
          </w:p>
          <w:p w:rsidR="009A4E2C" w:rsidRPr="00427A59" w:rsidRDefault="009A4E2C">
            <w:pPr>
              <w:ind w:left="-284" w:right="140"/>
              <w:jc w:val="both"/>
              <w:rPr>
                <w:sz w:val="27"/>
                <w:szCs w:val="27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7D29EB" w:rsidRDefault="002C629C" w:rsidP="007D29EB">
            <w:pPr>
              <w:ind w:left="34" w:right="140"/>
              <w:jc w:val="center"/>
              <w:rPr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t>Для вирішення проблеми найбільш виправданою та доцільною є Альтернатива 2, адже вона призведе до повного вирішення проблеми, визначеної розділом I аналізу регуляторного впливу</w:t>
            </w:r>
          </w:p>
        </w:tc>
      </w:tr>
    </w:tbl>
    <w:p w:rsidR="00427A59" w:rsidRDefault="00427A59" w:rsidP="007D29E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 w:firstLine="709"/>
        <w:jc w:val="both"/>
        <w:rPr>
          <w:color w:val="000000"/>
          <w:sz w:val="24"/>
          <w:szCs w:val="24"/>
        </w:rPr>
      </w:pPr>
    </w:p>
    <w:tbl>
      <w:tblPr>
        <w:tblStyle w:val="af5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36"/>
        <w:gridCol w:w="3840"/>
        <w:gridCol w:w="3563"/>
      </w:tblGrid>
      <w:tr w:rsidR="009A4E2C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Рейтинг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9A4E2C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1:</w:t>
            </w:r>
          </w:p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залишити регулювання без змін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Default="002C629C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sz w:val="27"/>
                <w:szCs w:val="27"/>
              </w:rPr>
            </w:pPr>
            <w:r w:rsidRPr="00427A59">
              <w:rPr>
                <w:sz w:val="27"/>
                <w:szCs w:val="27"/>
              </w:rPr>
              <w:t xml:space="preserve">Причиною відмови від даної альтернативи є те, що вона не сприятиме вирішенню проблеми, </w:t>
            </w:r>
            <w:r w:rsidRPr="00427A59">
              <w:rPr>
                <w:color w:val="000000"/>
                <w:sz w:val="27"/>
                <w:szCs w:val="27"/>
              </w:rPr>
              <w:t xml:space="preserve">оскільки </w:t>
            </w:r>
            <w:r w:rsidR="00A53323" w:rsidRPr="00427A59">
              <w:rPr>
                <w:sz w:val="27"/>
                <w:szCs w:val="27"/>
              </w:rPr>
              <w:t>постачальники електронних комунікаційних послуг та/або мереж</w:t>
            </w:r>
            <w:r w:rsidRPr="00427A59">
              <w:rPr>
                <w:color w:val="000000"/>
                <w:sz w:val="27"/>
                <w:szCs w:val="27"/>
              </w:rPr>
              <w:t xml:space="preserve"> продовжуватимуть витрачати </w:t>
            </w:r>
            <w:r w:rsidR="007D29EB">
              <w:rPr>
                <w:sz w:val="27"/>
                <w:szCs w:val="27"/>
              </w:rPr>
              <w:t>тривалий</w:t>
            </w:r>
            <w:r w:rsidRPr="00427A59">
              <w:rPr>
                <w:color w:val="000000"/>
                <w:sz w:val="27"/>
                <w:szCs w:val="27"/>
              </w:rPr>
              <w:t xml:space="preserve"> </w:t>
            </w:r>
            <w:r w:rsidRPr="00427A59">
              <w:rPr>
                <w:sz w:val="27"/>
                <w:szCs w:val="27"/>
              </w:rPr>
              <w:t>час на</w:t>
            </w:r>
            <w:r w:rsidRPr="00427A59">
              <w:rPr>
                <w:color w:val="000000"/>
                <w:sz w:val="27"/>
                <w:szCs w:val="27"/>
              </w:rPr>
              <w:t xml:space="preserve"> отримання земельних ділянок для </w:t>
            </w:r>
            <w:r w:rsidRPr="00427A59">
              <w:rPr>
                <w:sz w:val="27"/>
                <w:szCs w:val="27"/>
              </w:rPr>
              <w:t xml:space="preserve">розгортання мобільної мережі </w:t>
            </w:r>
          </w:p>
          <w:p w:rsidR="00030D34" w:rsidRPr="00427A59" w:rsidRDefault="00030D34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 w:rsidP="00A533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 xml:space="preserve">Очікується реальний вплив зовнішніх факторів та зайві часові витрати суб’єктів господарювання на розміщення </w:t>
            </w:r>
            <w:r w:rsidR="00A53323" w:rsidRPr="00427A59">
              <w:rPr>
                <w:sz w:val="27"/>
                <w:szCs w:val="27"/>
              </w:rPr>
              <w:t>об’єктів цифрової інфраструктури</w:t>
            </w:r>
          </w:p>
        </w:tc>
      </w:tr>
      <w:tr w:rsidR="009A4E2C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Альтернатива 2:</w:t>
            </w:r>
          </w:p>
          <w:p w:rsidR="009A4E2C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прийняття Закону</w:t>
            </w:r>
          </w:p>
          <w:p w:rsidR="00030D34" w:rsidRPr="00427A59" w:rsidRDefault="00030D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Забезпечить повною мірою досягнення поставлен</w:t>
            </w:r>
            <w:r w:rsidRPr="00427A59">
              <w:rPr>
                <w:sz w:val="27"/>
                <w:szCs w:val="27"/>
              </w:rPr>
              <w:t>ої</w:t>
            </w:r>
            <w:r w:rsidRPr="00427A59">
              <w:rPr>
                <w:color w:val="000000"/>
                <w:sz w:val="27"/>
                <w:szCs w:val="27"/>
              </w:rPr>
              <w:t xml:space="preserve"> цілі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E2C" w:rsidRPr="00427A59" w:rsidRDefault="002C62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color w:val="000000"/>
                <w:sz w:val="27"/>
                <w:szCs w:val="27"/>
              </w:rPr>
            </w:pPr>
            <w:r w:rsidRPr="00427A59">
              <w:rPr>
                <w:color w:val="000000"/>
                <w:sz w:val="27"/>
                <w:szCs w:val="27"/>
              </w:rPr>
              <w:t>Цей спосіб повною мірою відповідає вимогам законодавства України</w:t>
            </w:r>
          </w:p>
        </w:tc>
      </w:tr>
    </w:tbl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left="-284" w:right="140"/>
        <w:jc w:val="both"/>
        <w:rPr>
          <w:b/>
          <w:sz w:val="28"/>
          <w:szCs w:val="28"/>
        </w:rPr>
      </w:pPr>
    </w:p>
    <w:p w:rsidR="009A4E2C" w:rsidRDefault="009A4E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b/>
          <w:sz w:val="28"/>
          <w:szCs w:val="28"/>
        </w:rPr>
      </w:pPr>
    </w:p>
    <w:p w:rsidR="009A4E2C" w:rsidRDefault="002C629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V. Механізми та заходи, які забезпечать розв’язання визначеної проблеми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Механізмом регулювання, за допомогою якого передбачається розв’язати проблему, є прийняття закону, яким буде </w:t>
      </w:r>
      <w:r w:rsidR="00A53323">
        <w:rPr>
          <w:sz w:val="28"/>
          <w:szCs w:val="28"/>
          <w:highlight w:val="white"/>
        </w:rPr>
        <w:t>пришвидшено існуючу процедуру</w:t>
      </w:r>
      <w:r>
        <w:rPr>
          <w:sz w:val="28"/>
          <w:szCs w:val="28"/>
          <w:highlight w:val="white"/>
        </w:rPr>
        <w:t xml:space="preserve"> виділення земельн</w:t>
      </w:r>
      <w:r w:rsidR="00A53323">
        <w:rPr>
          <w:sz w:val="28"/>
          <w:szCs w:val="28"/>
          <w:highlight w:val="white"/>
        </w:rPr>
        <w:t xml:space="preserve">их </w:t>
      </w:r>
      <w:r>
        <w:rPr>
          <w:sz w:val="28"/>
          <w:szCs w:val="28"/>
          <w:highlight w:val="white"/>
        </w:rPr>
        <w:t>ділян</w:t>
      </w:r>
      <w:r w:rsidR="00A53323">
        <w:rPr>
          <w:sz w:val="28"/>
          <w:szCs w:val="28"/>
          <w:highlight w:val="white"/>
        </w:rPr>
        <w:t xml:space="preserve">ок для передачі їх в оренду </w:t>
      </w:r>
      <w:r w:rsidR="00A53323" w:rsidRPr="00043CBA">
        <w:rPr>
          <w:sz w:val="28"/>
          <w:szCs w:val="28"/>
        </w:rPr>
        <w:t>постачальни</w:t>
      </w:r>
      <w:r w:rsidR="00A53323">
        <w:rPr>
          <w:sz w:val="28"/>
          <w:szCs w:val="28"/>
        </w:rPr>
        <w:t xml:space="preserve">кам </w:t>
      </w:r>
      <w:r w:rsidR="00A53323" w:rsidRPr="00043CBA">
        <w:rPr>
          <w:sz w:val="28"/>
          <w:szCs w:val="28"/>
        </w:rPr>
        <w:t>електронних комунікаційних послуг та/або мереж</w:t>
      </w:r>
      <w:r>
        <w:rPr>
          <w:sz w:val="28"/>
          <w:szCs w:val="28"/>
          <w:highlight w:val="white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Запровадження регуляторного акта </w:t>
      </w:r>
      <w:proofErr w:type="spellStart"/>
      <w:r>
        <w:rPr>
          <w:sz w:val="28"/>
          <w:szCs w:val="28"/>
        </w:rPr>
        <w:t>надасть</w:t>
      </w:r>
      <w:proofErr w:type="spellEnd"/>
      <w:r>
        <w:rPr>
          <w:sz w:val="28"/>
          <w:szCs w:val="28"/>
        </w:rPr>
        <w:t xml:space="preserve"> змогу забезпечити оперативне розгортання </w:t>
      </w:r>
      <w:r w:rsidR="00B14338">
        <w:rPr>
          <w:sz w:val="28"/>
          <w:szCs w:val="28"/>
        </w:rPr>
        <w:t xml:space="preserve">цифрової </w:t>
      </w:r>
      <w:r>
        <w:rPr>
          <w:sz w:val="28"/>
          <w:szCs w:val="28"/>
        </w:rPr>
        <w:t>інфраструктури на території України з метою безперебійного забезпечення населення мобільним зв'язком та доступом до мобільного широкосмугового Інтернету.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викладене, ступінь ефективності основних принципів і способів досягнення цілей оцінюється як високий.</w:t>
      </w:r>
    </w:p>
    <w:p w:rsidR="00427A59" w:rsidRDefault="00427A59">
      <w:pPr>
        <w:shd w:val="clear" w:color="auto" w:fill="FFFFFF"/>
        <w:jc w:val="both"/>
        <w:rPr>
          <w:sz w:val="28"/>
          <w:szCs w:val="28"/>
        </w:rPr>
      </w:pPr>
    </w:p>
    <w:p w:rsidR="00030D34" w:rsidRDefault="00030D34">
      <w:pPr>
        <w:shd w:val="clear" w:color="auto" w:fill="FFFFFF"/>
        <w:jc w:val="both"/>
        <w:rPr>
          <w:sz w:val="28"/>
          <w:szCs w:val="28"/>
        </w:rPr>
      </w:pPr>
    </w:p>
    <w:p w:rsidR="009A4E2C" w:rsidRDefault="002C629C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VІ.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Закону не передбачає фінансових витрат для органів виконавчої влади чи органів місцевого самоврядування.</w:t>
      </w:r>
    </w:p>
    <w:p w:rsidR="009A4E2C" w:rsidRDefault="009A4E2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A4E2C" w:rsidRDefault="009A4E2C">
      <w:pPr>
        <w:shd w:val="clear" w:color="auto" w:fill="FFFFFF"/>
        <w:ind w:firstLine="566"/>
        <w:jc w:val="both"/>
        <w:rPr>
          <w:sz w:val="28"/>
          <w:szCs w:val="28"/>
        </w:rPr>
      </w:pPr>
    </w:p>
    <w:p w:rsidR="009A4E2C" w:rsidRDefault="002C629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lastRenderedPageBreak/>
        <w:t>VІІ. Обґрунтування запропонованого строку дії регуляторного акта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Термін дії нормативно-правового акта не обмежений у часі, що дасть змогу повною мірою вирішити проблемні питання.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Зміна терміну дії акта можлива у разі внесення змін до законодавства України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Термін набрання чинності Закону 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відповідно до законодавства після його офіційного оприлюднення.</w:t>
      </w:r>
    </w:p>
    <w:p w:rsidR="009A4E2C" w:rsidRDefault="009A4E2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30D34" w:rsidRDefault="00030D34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9A4E2C" w:rsidRDefault="002C629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VІІІ. Визначення показників результативності регуляторного акта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Основними показниками результативності регуляторного акта є </w:t>
      </w:r>
      <w:r>
        <w:rPr>
          <w:sz w:val="28"/>
          <w:szCs w:val="28"/>
        </w:rPr>
        <w:t>з</w:t>
      </w:r>
      <w:r>
        <w:rPr>
          <w:color w:val="000000"/>
          <w:sz w:val="28"/>
          <w:szCs w:val="28"/>
        </w:rPr>
        <w:t>меншенн</w:t>
      </w:r>
      <w:r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часових витрат</w:t>
      </w:r>
      <w:r>
        <w:rPr>
          <w:sz w:val="28"/>
          <w:szCs w:val="28"/>
        </w:rPr>
        <w:t xml:space="preserve"> мобільних </w:t>
      </w:r>
      <w:r>
        <w:rPr>
          <w:color w:val="000000"/>
          <w:sz w:val="28"/>
          <w:szCs w:val="28"/>
        </w:rPr>
        <w:t xml:space="preserve">операторів при проходженні процедури отримання земельних ділянок для розміщення на них </w:t>
      </w:r>
      <w:r w:rsidR="00B14338">
        <w:rPr>
          <w:sz w:val="28"/>
          <w:szCs w:val="28"/>
        </w:rPr>
        <w:t>об’єктів цифрової інфраструктури</w:t>
      </w:r>
      <w:r>
        <w:rPr>
          <w:sz w:val="28"/>
          <w:szCs w:val="28"/>
        </w:rPr>
        <w:t>. Це</w:t>
      </w:r>
      <w:r>
        <w:rPr>
          <w:color w:val="000000"/>
          <w:sz w:val="28"/>
          <w:szCs w:val="28"/>
        </w:rPr>
        <w:t xml:space="preserve"> забезпечить безумовне виконання </w:t>
      </w:r>
      <w:r>
        <w:rPr>
          <w:sz w:val="28"/>
          <w:szCs w:val="28"/>
          <w:highlight w:val="white"/>
        </w:rPr>
        <w:t xml:space="preserve">цілі 2.2 розділу </w:t>
      </w:r>
      <w:r w:rsidR="00B14338">
        <w:rPr>
          <w:sz w:val="28"/>
          <w:szCs w:val="28"/>
          <w:highlight w:val="white"/>
        </w:rPr>
        <w:t>«</w:t>
      </w:r>
      <w:r>
        <w:rPr>
          <w:sz w:val="28"/>
          <w:szCs w:val="28"/>
          <w:highlight w:val="white"/>
        </w:rPr>
        <w:t>Довгострокові пріоритети діяльності Уряду</w:t>
      </w:r>
      <w:r w:rsidR="00B14338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 xml:space="preserve"> Програми діяльності Кабінету Міністрів України, затвердженої постановою Кабінету Міністрів України </w:t>
      </w:r>
      <w:r w:rsidR="00DB194C">
        <w:rPr>
          <w:sz w:val="28"/>
          <w:szCs w:val="28"/>
          <w:highlight w:val="white"/>
        </w:rPr>
        <w:t>від</w:t>
      </w:r>
      <w:r w:rsidR="00DB194C">
        <w:rPr>
          <w:sz w:val="28"/>
          <w:szCs w:val="28"/>
        </w:rPr>
        <w:t> </w:t>
      </w:r>
      <w:r>
        <w:rPr>
          <w:sz w:val="28"/>
          <w:szCs w:val="28"/>
        </w:rPr>
        <w:t>12.06.2020 № 471, щодо розвитку мереж доступу до Інтернету, створення умов для мобільних технологій четвертого та п’ятого поколінь.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Розмір надходжень до державного та місцевих бюджетів і державних цільових фондів, пов'язаних з дією акта - дія акта не впливає на надходження до державного чи місцевих бюджетів.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Кількість суб'єктів господарювання та/або фізичних ос</w:t>
      </w:r>
      <w:r>
        <w:rPr>
          <w:color w:val="000000"/>
          <w:sz w:val="28"/>
          <w:szCs w:val="28"/>
          <w:highlight w:val="white"/>
        </w:rPr>
        <w:t xml:space="preserve">іб, на яких поширюватиметься дія акта </w:t>
      </w:r>
      <w:r>
        <w:rPr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  <w:highlight w:val="white"/>
        </w:rPr>
        <w:t xml:space="preserve"> </w:t>
      </w:r>
      <w:r w:rsidR="00B14338">
        <w:rPr>
          <w:color w:val="000000"/>
          <w:sz w:val="28"/>
          <w:szCs w:val="28"/>
          <w:highlight w:val="white"/>
        </w:rPr>
        <w:t>3</w:t>
      </w:r>
      <w:r>
        <w:rPr>
          <w:color w:val="000000"/>
          <w:sz w:val="28"/>
          <w:szCs w:val="28"/>
          <w:highlight w:val="white"/>
        </w:rPr>
        <w:t xml:space="preserve"> мобільні оператори на українському ринку.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Розмір коштів і час, що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витрачатимуться у зв’язку з виконанням вимог регуляторного акта: прийняття проекту </w:t>
      </w:r>
      <w:r>
        <w:rPr>
          <w:sz w:val="28"/>
          <w:szCs w:val="28"/>
        </w:rPr>
        <w:t xml:space="preserve">Закону </w:t>
      </w:r>
      <w:r>
        <w:rPr>
          <w:color w:val="000000"/>
          <w:sz w:val="28"/>
          <w:szCs w:val="28"/>
        </w:rPr>
        <w:t>не потребує фінансових витрат.</w:t>
      </w:r>
    </w:p>
    <w:p w:rsidR="009A4E2C" w:rsidRDefault="002C629C">
      <w:pPr>
        <w:shd w:val="clear" w:color="auto" w:fill="FFFFFF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Рівень поінформованості </w:t>
      </w: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високий, оскільки </w:t>
      </w:r>
      <w:r w:rsidR="00B14338" w:rsidRPr="00043CBA">
        <w:rPr>
          <w:sz w:val="28"/>
          <w:szCs w:val="28"/>
        </w:rPr>
        <w:t>постачальни</w:t>
      </w:r>
      <w:r w:rsidR="00B14338">
        <w:rPr>
          <w:sz w:val="28"/>
          <w:szCs w:val="28"/>
        </w:rPr>
        <w:t xml:space="preserve">ки </w:t>
      </w:r>
      <w:r w:rsidR="00B14338" w:rsidRPr="00043CBA">
        <w:rPr>
          <w:sz w:val="28"/>
          <w:szCs w:val="28"/>
        </w:rPr>
        <w:t>електронних комунікаційних послуг та/або мереж</w:t>
      </w:r>
      <w:r w:rsidR="00B143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будуть </w:t>
      </w:r>
      <w:r>
        <w:rPr>
          <w:sz w:val="28"/>
          <w:szCs w:val="28"/>
        </w:rPr>
        <w:t>проінформовані</w:t>
      </w:r>
      <w:r>
        <w:rPr>
          <w:color w:val="000000"/>
          <w:sz w:val="28"/>
          <w:szCs w:val="28"/>
        </w:rPr>
        <w:t xml:space="preserve"> про основні положення регуляторного акта шляхом розміщення його на офіційному веб-сайті Міністерства цифрової трансформації України.</w:t>
      </w:r>
    </w:p>
    <w:p w:rsidR="009A4E2C" w:rsidRDefault="002C629C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Після прийняття регуляторного акта він буде опублікований у засобах масової інформації та розміщений на сайті Верховної Ради України.</w:t>
      </w:r>
    </w:p>
    <w:p w:rsidR="009A4E2C" w:rsidRDefault="009A4E2C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427A59" w:rsidRDefault="00427A59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9A4E2C" w:rsidRDefault="002C629C">
      <w:pPr>
        <w:shd w:val="clear" w:color="auto" w:fill="FFFFFF"/>
        <w:tabs>
          <w:tab w:val="left" w:pos="993"/>
          <w:tab w:val="left" w:pos="1276"/>
        </w:tabs>
        <w:ind w:firstLine="705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ІХ.</w:t>
      </w:r>
      <w:r>
        <w:rPr>
          <w:b/>
          <w:color w:val="000000"/>
          <w:sz w:val="28"/>
          <w:szCs w:val="28"/>
        </w:rPr>
        <w:tab/>
        <w:t>Визначення заходів, за допомогою яких здійснюватиметься відстеження результативності дії регуляторного акта</w:t>
      </w:r>
    </w:p>
    <w:p w:rsidR="009A4E2C" w:rsidRDefault="002C629C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законодавства здійснюється базове, повторне та періодичне відстеження результативності регуляторного акта у строки, встановлені статтею 10 Закону України </w:t>
      </w:r>
      <w:r w:rsidR="00B14338">
        <w:rPr>
          <w:sz w:val="28"/>
          <w:szCs w:val="28"/>
        </w:rPr>
        <w:t>«</w:t>
      </w:r>
      <w:r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B1433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Базове відстеження результативності Закону буде здійснюватися після набрання ним чинності</w:t>
      </w:r>
      <w:r>
        <w:rPr>
          <w:sz w:val="28"/>
          <w:szCs w:val="28"/>
        </w:rPr>
        <w:t>, оскільки планується використовувати статистичний метод відстеження та статистичні дані.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Повторне відстеження планується здійснити через рік після набрання чинності регуляторним актом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Періодичне відстеження здійснюватиметься раз на три роки, починаючи з дня виконання заходів з повторного відстеження результативності цього акта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Джерело даних: статистичні дані, отримані від </w:t>
      </w:r>
      <w:r w:rsidR="00B14338" w:rsidRPr="00043CBA">
        <w:rPr>
          <w:sz w:val="28"/>
          <w:szCs w:val="28"/>
        </w:rPr>
        <w:t>постачальни</w:t>
      </w:r>
      <w:r w:rsidR="00B14338">
        <w:rPr>
          <w:sz w:val="28"/>
          <w:szCs w:val="28"/>
        </w:rPr>
        <w:t xml:space="preserve">ків </w:t>
      </w:r>
      <w:r w:rsidR="00B14338" w:rsidRPr="00043CBA">
        <w:rPr>
          <w:sz w:val="28"/>
          <w:szCs w:val="28"/>
        </w:rPr>
        <w:t>електронних комунікаційних послуг та/або мереж</w:t>
      </w:r>
      <w:r>
        <w:rPr>
          <w:sz w:val="28"/>
          <w:szCs w:val="28"/>
        </w:rPr>
        <w:t>.</w:t>
      </w:r>
    </w:p>
    <w:p w:rsidR="009A4E2C" w:rsidRDefault="002C62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Виконавець заходів з відстеження результативності регуляторного акта -  Міністерство цифрової трансформації України.</w:t>
      </w:r>
    </w:p>
    <w:p w:rsidR="009A4E2C" w:rsidRDefault="009A4E2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A4E2C" w:rsidRDefault="009A4E2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A4E2C" w:rsidRDefault="002C629C">
      <w:pPr>
        <w:shd w:val="clear" w:color="auto" w:fill="FFFFFF"/>
        <w:jc w:val="both"/>
        <w:rPr>
          <w:sz w:val="24"/>
          <w:szCs w:val="24"/>
        </w:rPr>
      </w:pPr>
      <w:bookmarkStart w:id="10" w:name="_1fob9te" w:colFirst="0" w:colLast="0"/>
      <w:bookmarkEnd w:id="10"/>
      <w:r>
        <w:rPr>
          <w:b/>
          <w:color w:val="000000"/>
          <w:sz w:val="28"/>
          <w:szCs w:val="28"/>
        </w:rPr>
        <w:t>Віце-прем'єр-міністр України – Міністр</w:t>
      </w:r>
    </w:p>
    <w:p w:rsidR="009A4E2C" w:rsidRDefault="002C629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цифрової трансформації України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      Михайло ФЕДОРОВ</w:t>
      </w:r>
    </w:p>
    <w:p w:rsidR="009A4E2C" w:rsidRDefault="009A4E2C">
      <w:pPr>
        <w:tabs>
          <w:tab w:val="left" w:pos="-142"/>
          <w:tab w:val="left" w:pos="851"/>
        </w:tabs>
        <w:ind w:firstLine="709"/>
        <w:jc w:val="both"/>
        <w:rPr>
          <w:sz w:val="28"/>
          <w:szCs w:val="28"/>
        </w:rPr>
      </w:pPr>
    </w:p>
    <w:p w:rsidR="009A4E2C" w:rsidRDefault="009A4E2C">
      <w:pPr>
        <w:tabs>
          <w:tab w:val="left" w:pos="-142"/>
          <w:tab w:val="left" w:pos="851"/>
        </w:tabs>
        <w:ind w:firstLine="709"/>
        <w:jc w:val="both"/>
        <w:rPr>
          <w:sz w:val="28"/>
          <w:szCs w:val="28"/>
        </w:rPr>
      </w:pPr>
    </w:p>
    <w:p w:rsidR="009A4E2C" w:rsidRDefault="002C629C">
      <w:pPr>
        <w:tabs>
          <w:tab w:val="left" w:pos="-142"/>
          <w:tab w:val="left" w:pos="851"/>
        </w:tabs>
        <w:jc w:val="both"/>
      </w:pPr>
      <w:bookmarkStart w:id="11" w:name="_3znysh7" w:colFirst="0" w:colLast="0"/>
      <w:bookmarkEnd w:id="11"/>
      <w:r>
        <w:rPr>
          <w:sz w:val="28"/>
          <w:szCs w:val="28"/>
        </w:rPr>
        <w:t>«____» ____________ 202</w:t>
      </w:r>
      <w:r w:rsidR="00B14338">
        <w:rPr>
          <w:sz w:val="28"/>
          <w:szCs w:val="28"/>
        </w:rPr>
        <w:t>2</w:t>
      </w:r>
      <w:r>
        <w:rPr>
          <w:sz w:val="28"/>
          <w:szCs w:val="28"/>
        </w:rPr>
        <w:t xml:space="preserve"> року</w:t>
      </w:r>
    </w:p>
    <w:sectPr w:rsidR="009A4E2C" w:rsidSect="00030D34">
      <w:headerReference w:type="default" r:id="rId7"/>
      <w:headerReference w:type="first" r:id="rId8"/>
      <w:footerReference w:type="first" r:id="rId9"/>
      <w:pgSz w:w="11906" w:h="16838"/>
      <w:pgMar w:top="1135" w:right="567" w:bottom="1418" w:left="1700" w:header="510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8DA" w:rsidRDefault="00AB18DA">
      <w:r>
        <w:separator/>
      </w:r>
    </w:p>
  </w:endnote>
  <w:endnote w:type="continuationSeparator" w:id="0">
    <w:p w:rsidR="00AB18DA" w:rsidRDefault="00AB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  <w:p w:rsidR="009A4E2C" w:rsidRDefault="009A4E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8DA" w:rsidRDefault="00AB18DA">
      <w:r>
        <w:separator/>
      </w:r>
    </w:p>
  </w:footnote>
  <w:footnote w:type="continuationSeparator" w:id="0">
    <w:p w:rsidR="00AB18DA" w:rsidRDefault="00AB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78271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91EBD" w:rsidRPr="00A91EBD" w:rsidRDefault="00A91EBD">
        <w:pPr>
          <w:pStyle w:val="af7"/>
          <w:jc w:val="center"/>
          <w:rPr>
            <w:sz w:val="28"/>
          </w:rPr>
        </w:pPr>
        <w:r w:rsidRPr="00030D34">
          <w:rPr>
            <w:sz w:val="26"/>
            <w:szCs w:val="26"/>
          </w:rPr>
          <w:fldChar w:fldCharType="begin"/>
        </w:r>
        <w:r w:rsidRPr="00030D34">
          <w:rPr>
            <w:sz w:val="26"/>
            <w:szCs w:val="26"/>
          </w:rPr>
          <w:instrText>PAGE   \* MERGEFORMAT</w:instrText>
        </w:r>
        <w:r w:rsidRPr="00030D34">
          <w:rPr>
            <w:sz w:val="26"/>
            <w:szCs w:val="26"/>
          </w:rPr>
          <w:fldChar w:fldCharType="separate"/>
        </w:r>
        <w:r w:rsidR="00832805">
          <w:rPr>
            <w:noProof/>
            <w:sz w:val="26"/>
            <w:szCs w:val="26"/>
          </w:rPr>
          <w:t>10</w:t>
        </w:r>
        <w:r w:rsidRPr="00030D34">
          <w:rPr>
            <w:sz w:val="26"/>
            <w:szCs w:val="26"/>
          </w:rPr>
          <w:fldChar w:fldCharType="end"/>
        </w:r>
      </w:p>
    </w:sdtContent>
  </w:sdt>
  <w:p w:rsidR="009A4E2C" w:rsidRDefault="009A4E2C" w:rsidP="00A91E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E2C" w:rsidRDefault="009A4E2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A591A"/>
    <w:multiLevelType w:val="multilevel"/>
    <w:tmpl w:val="F2E85FFE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2C"/>
    <w:rsid w:val="00030D34"/>
    <w:rsid w:val="000D4A15"/>
    <w:rsid w:val="002C629C"/>
    <w:rsid w:val="0036640D"/>
    <w:rsid w:val="003B17B9"/>
    <w:rsid w:val="00427A59"/>
    <w:rsid w:val="00483DFA"/>
    <w:rsid w:val="004D467C"/>
    <w:rsid w:val="005E58F9"/>
    <w:rsid w:val="00666665"/>
    <w:rsid w:val="00681BB4"/>
    <w:rsid w:val="007D29EB"/>
    <w:rsid w:val="00832805"/>
    <w:rsid w:val="00876E16"/>
    <w:rsid w:val="009A4E2C"/>
    <w:rsid w:val="00A04D7F"/>
    <w:rsid w:val="00A53323"/>
    <w:rsid w:val="00A91EBD"/>
    <w:rsid w:val="00AB18DA"/>
    <w:rsid w:val="00B14338"/>
    <w:rsid w:val="00DB194C"/>
    <w:rsid w:val="00DD00C9"/>
    <w:rsid w:val="00E81FE8"/>
    <w:rsid w:val="00EF56EE"/>
    <w:rsid w:val="00E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A9207-3154-40DA-BB1A-BED429E9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pPr>
      <w:keepNext/>
      <w:widowControl/>
      <w:ind w:left="-108" w:right="-108"/>
      <w:jc w:val="center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rmal (Web)"/>
    <w:basedOn w:val="a"/>
    <w:uiPriority w:val="99"/>
    <w:unhideWhenUsed/>
    <w:rsid w:val="00EF6476"/>
    <w:pPr>
      <w:widowControl/>
      <w:spacing w:before="100" w:beforeAutospacing="1" w:after="100" w:afterAutospacing="1"/>
    </w:pPr>
    <w:rPr>
      <w:sz w:val="24"/>
      <w:szCs w:val="24"/>
      <w:lang w:eastAsia="uk-UA"/>
    </w:rPr>
  </w:style>
  <w:style w:type="paragraph" w:styleId="af7">
    <w:name w:val="header"/>
    <w:basedOn w:val="a"/>
    <w:link w:val="af8"/>
    <w:uiPriority w:val="99"/>
    <w:unhideWhenUsed/>
    <w:rsid w:val="00A91EBD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A91EBD"/>
  </w:style>
  <w:style w:type="paragraph" w:styleId="af9">
    <w:name w:val="footer"/>
    <w:basedOn w:val="a"/>
    <w:link w:val="afa"/>
    <w:uiPriority w:val="99"/>
    <w:unhideWhenUsed/>
    <w:rsid w:val="00A91EBD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A91EBD"/>
  </w:style>
  <w:style w:type="paragraph" w:styleId="afb">
    <w:name w:val="No Spacing"/>
    <w:uiPriority w:val="1"/>
    <w:qFormat/>
    <w:rsid w:val="00483DF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Обліковий запис Microsoft</cp:lastModifiedBy>
  <cp:revision>5</cp:revision>
  <dcterms:created xsi:type="dcterms:W3CDTF">2022-06-27T21:08:00Z</dcterms:created>
  <dcterms:modified xsi:type="dcterms:W3CDTF">2022-08-21T23:06:00Z</dcterms:modified>
</cp:coreProperties>
</file>