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hd w:val="clear" w:color="000000" w:fill="FFFFFF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ПОЯСНЮВАЛЬНА ЗАПИСКА</w:t>
      </w:r>
    </w:p>
    <w:p>
      <w:pPr>
        <w:jc w:val="center"/>
        <w:shd w:val="clear" w:color="000000" w:fill="FFFFFF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bookmarkStart w:id="1" w:name="_gjdgxs"/>
      <w:bookmarkEnd w:id="1"/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до проекту Закону України «Про внесення зміни до Закону України «Про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регулювання містобудівної діяльності» щодо спрощення розміщення технічних 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засобів телекомунікацій»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br w:type="textWrapping" w:clear="all"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(далі – проект акта)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1. Мета</w:t>
      </w:r>
    </w:p>
    <w:p>
      <w:pPr>
        <w:jc w:val="both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розроблено з метою спрощення процедури отримання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мобільними операторами права на користування земельними ділянками для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розміщення технічних засобів телекомунікацій для покриття 95 % населення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України мобільним високошвидкісним інтернетом, опосередкованого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стимулювання екотуризму, рекреації, туризму.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2. Обґрунтування необхідності прийняття акта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розроблений на виконання цілі 2.2 розділу “Довгострокові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пріоритети діяльності Уряду” Програми діяльності Кабінету Міністрів України,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затвердженої постановою Кабінету Міністрів України від 12.06.2020 № 471,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Положення про Міністерство цифрової трансформації, затвердженого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постановою Кабінету Міністрів України від 18.09.2020 № 856, а також пункту 1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доручення Прем’єр-міністра України від 07.10.2020 № 41636/0/1-20.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У мобільних операторів існує проблема з отриманням дозволів,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виділенням земельних ділянок та доступом до інфраструктури для будівництва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базових станцій мобільного (рухомого) зв'язку (далі – БС). Для покриття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зв’язком сільської місцевості потрібно будувати нові БС. Наразі процес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отримання дозволів для початку будівництва БС займає від 10 до 20 місяців,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має бути максимально скорочений для пришвидшення подолання цифрового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розриву між міським та сільським населенням.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Прийняття акта сприятиме пришвидшенню процесу виділення земельних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ділянок для розміщення технічних засобів телекомунікацій, що в свою чергу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забезпечить більш швидке покриття території України мобільним зв’язком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четвертого покоління та мобільним широкосмуговим доступом до Інтернету,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опосередковане стимулювання екотуризму, рекреації, туризму.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3. Основні положення проекту акта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Проектом акта пропонується доповнити розділ V “Перехідні положення”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Закону України “Про регулювання містобудівної діяльності” (далі – Закон)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положенням щодо непоширення заборони щодо передачі (надання) земельних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ділянок із земель державної або комунальної власності у власність чи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користування фізичним та юридичним особам для містобудівних потреб у разі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відсутності  плану  зонування  або  детального  плану  території,  затвердженого</w:t>
      </w:r>
      <w:r>
        <w:rPr>
          <w:sz w:val="28"/>
          <w:szCs w:val="28"/>
          <w:rFonts w:ascii="Times New Roman" w:eastAsia="Times New Roman" w:hAnsi="Times New Roman" w:cs="Times New Roman"/>
        </w:rPr>
        <w:br w:type="textWrapping" w:clear="all"/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відповідно до вимог цього Закону, встановленої частиною третьою статті 24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Закону, на надання земельних ділянок площею до </w:t>
      </w:r>
      <w:r>
        <w:rPr>
          <w:sz w:val="28"/>
          <w:szCs w:val="28"/>
          <w:highlight w:val="white"/>
          <w:rFonts w:ascii="Times New Roman" w:eastAsia="Times New Roman" w:hAnsi="Times New Roman" w:cs="Times New Roman"/>
        </w:rPr>
        <w:t>0.05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 га, розташованих 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межах сіл і селищ, а також розташованих за межами населених пунктів (крім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особливо цінних земель), для будівництва, експлуатації та обслуговування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технічних засобів телекомунікацій та/або споруд електрозв’язку (крім лінійних),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що є складовими телекомунікаційних мереж, в тому числі, базових станцій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мобільного зв’язку та їх ліній зовнішнього електроживлення. При цьому, проект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акта враховує зміну термінології, передбачену Законом України “Про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електронні комунікації”.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Також, передбачається встановити заборону на використання вказаних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земельних ділянок для інших потреб та на подальшу зміну їх цільового </w:t>
      </w:r>
      <w:r>
        <w:rPr>
          <w:sz w:val="28"/>
          <w:szCs w:val="28"/>
          <w:rFonts w:ascii="Times New Roman" w:eastAsia="Times New Roman" w:hAnsi="Times New Roman" w:cs="Times New Roman"/>
        </w:rPr>
        <w:t>призначення.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4. Правові аспекти</w:t>
      </w:r>
    </w:p>
    <w:p>
      <w:pPr>
        <w:jc w:val="both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2" w:name="_30j0zll"/>
      <w:bookmarkEnd w:id="2"/>
      <w:r>
        <w:rPr>
          <w:sz w:val="28"/>
          <w:szCs w:val="28"/>
          <w:rFonts w:ascii="Times New Roman" w:eastAsia="Times New Roman" w:hAnsi="Times New Roman" w:cs="Times New Roman"/>
        </w:rPr>
        <w:t xml:space="preserve">Земельний кодекс України;</w:t>
      </w:r>
    </w:p>
    <w:p>
      <w:pPr>
        <w:jc w:val="both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Закон України “Про регулювання містобудівної діяльності”;</w:t>
      </w:r>
    </w:p>
    <w:p>
      <w:pPr>
        <w:jc w:val="both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Закон України “Про доступ до об’єктів будівництва, транспорту,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електроенергетики з метою розвитку телекомунікаційних мереж”;</w:t>
      </w:r>
    </w:p>
    <w:p>
      <w:pPr>
        <w:jc w:val="both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3" w:name="_1fob9te"/>
      <w:bookmarkEnd w:id="3"/>
      <w:r>
        <w:rPr>
          <w:sz w:val="28"/>
          <w:szCs w:val="28"/>
          <w:rFonts w:ascii="Times New Roman" w:eastAsia="Times New Roman" w:hAnsi="Times New Roman" w:cs="Times New Roman"/>
        </w:rPr>
        <w:t xml:space="preserve">постанова Кабінету Міністрів України від 12.06.2020 № 471 “Про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затвердження Програми діяльності Кабінету Міністрів України”;</w:t>
      </w:r>
    </w:p>
    <w:p>
      <w:pPr>
        <w:jc w:val="both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постанова Кабінету Міністрів України від 18.09.2020 № 856 “Питання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Міністерства цифрової трансформації”.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4" w:name="_3znysh7"/>
      <w:bookmarkEnd w:id="4"/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5. Фінансово-економічне обґрунтування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Прийняття проекту акта не впливатиме на надходження та витрати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державного та/або місцевого бюджетів. У випадку реалізації акта буде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зменшено цифровий розрив між сільським та міським населенням, що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стимулюватиме розвиток мобільного зв'язку та послуг у сільській місцевості, і,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відповідно, ділову активність. Відповідно, буде опосередковане сприяння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збільшенню надходжень (внаслідок пожвавлення місцевого підприємництва),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розвиток екотуризму, рекреації, туризму тощо.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Фінансово-економічні розрахунки до проекту акта додаються.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6. Позиція заінтересованих сторін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З метою проведення публічних консультацій, відповідно до Порядку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проведення консультацій з громадськістю з питань формування та реалізації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державної політики, затвердженого постановою Кабінету Міністрів України від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03.11.2010 № 996 “Про забезпечення участі громадськості у формуванні та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реалізації державної політики”, проект акта розміщено на офіційному вебсайті </w:t>
      </w:r>
      <w:r>
        <w:rPr>
          <w:sz w:val="28"/>
          <w:szCs w:val="28"/>
          <w:rFonts w:ascii="Times New Roman" w:eastAsia="Times New Roman" w:hAnsi="Times New Roman" w:cs="Times New Roman"/>
        </w:rPr>
        <w:t>Мінцифри.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стосується питань функціонування місцевого самоврядування,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прав та інтересів територіальних громад, місцевого та регіонального розвитку 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потребує погодження з Всеукраїнською асоціацією органів місцевого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самоврядування “Асоціація міст України”.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стосується соціально-трудової сфери, прав осіб з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інвалідністю, функціонування і застосування української мови як державної та 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не потребує погодження з уповноваженими представниками всеукраїнських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профспілок, їх об'єднань та всеукраїнських об'єднань організацій роботодавців,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Уповноваженим Президента України з прав людей з інвалідністю, Урядовим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уповноваженим з прав осіб з інвалідністю та всеукраїнськими громадськими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організаціями осіб з інвалідністю, їх спілок, Уповноваженим із захисту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державної мови.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bookmarkStart w:id="5" w:name="_2et92p0"/>
      <w:bookmarkEnd w:id="5"/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стосується сфери наукової та науково-технічної діяльності,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та не потребує розгляду Науковим комітетом Національної ради з питань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розвитку науки і технологій.</w:t>
      </w:r>
    </w:p>
    <w:p>
      <w:pPr>
        <w:jc w:val="both"/>
        <w:shd w:val="clear" w:color="000000" w:fill="FFFFFF"/>
        <w:spacing w:lineRule="auto" w:line="240" w:before="12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7. Оцінка відповідності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містить норм, що стосуються зобов’язань України у сфері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європейської інтеграції.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містить норм, що порушують права та свободи,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гарантовані Конвенцією про захист прав людини і основоположних свобод </w:t>
      </w:r>
      <w:r>
        <w:rPr>
          <w:sz w:val="28"/>
          <w:szCs w:val="28"/>
          <w:rFonts w:ascii="Times New Roman" w:eastAsia="Times New Roman" w:hAnsi="Times New Roman" w:cs="Times New Roman"/>
        </w:rPr>
        <w:t>1950 року.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У проекті акта відсутні положення, які порушують принцип забезпечення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рівних прав та можливостей жінок і чоловіків.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У проекті акта відсутні положення, які містять ризики вчинення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корупційних правопорушень та правопорушень, пов’язаних з корупцією.</w:t>
      </w:r>
    </w:p>
    <w:p>
      <w:pPr>
        <w:jc w:val="both"/>
        <w:shd w:val="clear" w:color="000000" w:fill="FFFFFF"/>
        <w:spacing w:lineRule="auto" w:lin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У проекті акта відсутні положення, що містять ознаки дискримінації чи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які створюють підстави для дискримінації.</w:t>
      </w:r>
    </w:p>
    <w:p>
      <w:pPr>
        <w:jc w:val="both"/>
        <w:shd w:val="clear" w:color="000000" w:fill="FFFFFF"/>
        <w:spacing w:lineRule="auto" w:line="240" w:before="240"/>
        <w:pBdr>
          <w:top w:val="nil" w:sz="0" w:space="0" w:color="000000"/>
          <w:bottom w:val="nil" w:sz="0" w:space="0" w:color="000000"/>
          <w:left w:val="nil" w:sz="0" w:space="0" w:color="000000"/>
          <w:right w:val="nil" w:sz="0" w:space="0" w:color="000000"/>
          <w:between w:val="nil" w:sz="0" w:space="0" w:color="000000"/>
        </w:pBdr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8. Прогноз результатів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Прийняття акта сприятиме спрощенню процедури отримання мобільними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операторами земельних ділянок для розміщення технічних засобів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телекомунікацій, що в свою чергу, сприятиме подальшому розгортанню мережі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4G для 95% відсотків населення, впровадженню технології 5G та більш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швидкому покриттю території України мобільним широкосмуговим доступом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до Інтернету, опосередкованому стимулюванню екотуризму, рекреації, туризму.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Проект акта не матиме впливу на ринок праці, рівень зайнятості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населення; громадське здоров’я, покращення чи погіршення стану здоров’я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населення або його окремих груп; екологію та навколишнє природне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середовище, обсяг природних ресурсів, рівень забруднення атмосферного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повітря, води, земель, зокрема, забруднення утвореними відходами, інші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суспільні відносини.</w:t>
      </w:r>
    </w:p>
    <w:p>
      <w:pPr>
        <w:jc w:val="both"/>
        <w:shd w:val="clear" w:color="000000" w:fill="FFFFFF"/>
        <w:spacing w:lineRule="auto" w:line="24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Водночас, проект акта є регуляторним і матиме вплив на ринкове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середовище, забезпечення захисту прав та інтересів суб’єктів господарювання,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громадян і держави; розвиток регіонів, підвищення чи зниження спроможності </w:t>
      </w:r>
      <w:r>
        <w:rPr>
          <w:sz w:val="28"/>
          <w:szCs w:val="28"/>
          <w:rFonts w:ascii="Times New Roman" w:eastAsia="Times New Roman" w:hAnsi="Times New Roman" w:cs="Times New Roman"/>
        </w:rPr>
        <w:t xml:space="preserve">територіальних громад.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  <w:r>
        <w:rPr>
          <w:sz w:val="28"/>
          <w:szCs w:val="28"/>
          <w:rFonts w:ascii="Times New Roman" w:eastAsia="Times New Roman" w:hAnsi="Times New Roman" w:cs="Times New Roman"/>
        </w:rPr>
        <w:t xml:space="preserve">Реалізація акта матиме вплив на інтереси заінтересованих сторін:</w:t>
      </w:r>
    </w:p>
    <w:p>
      <w:pPr>
        <w:jc w:val="both"/>
        <w:shd w:val="clear" w:color="000000" w:fill="FFFFFF"/>
        <w:spacing w:lineRule="auto" w:line="240" w:before="120"/>
        <w:ind w:firstLine="709"/>
        <w:rPr>
          <w:sz w:val="28"/>
          <w:szCs w:val="28"/>
          <w:rFonts w:ascii="Times New Roman" w:eastAsia="Times New Roman" w:hAnsi="Times New Roman" w:cs="Times New Roman"/>
        </w:rPr>
      </w:pPr>
    </w:p>
    <w:tbl>
      <w:tblID w:val="0"/>
      <w:tblPr>
        <w:tblStyle w:val="PO152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00" w:firstRow="0" w:lastRow="0" w:firstColumn="0" w:lastColumn="0" w:noHBand="0" w:noVBand="1"/>
        <w:tblLayout w:type="auto"/>
      </w:tblPr>
      <w:tblGrid>
        <w:gridCol w:w="3177"/>
        <w:gridCol w:w="3171"/>
        <w:gridCol w:w="3173"/>
      </w:tblGrid>
      <w:tr>
        <w:trPr>
          <w:hidden w:val="0"/>
        </w:trPr>
        <w:tc>
          <w:tcPr>
            <w:tcW w:type="dxa" w:w="317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before="12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Заінтересована сторона</w:t>
            </w:r>
          </w:p>
        </w:tc>
        <w:tc>
          <w:tcPr>
            <w:tcW w:type="dxa" w:w="31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before="12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Вплив реалізації акта на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заінтересовану сторону</w:t>
            </w:r>
          </w:p>
        </w:tc>
        <w:tc>
          <w:tcPr>
            <w:tcW w:type="dxa" w:w="3173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spacing w:before="120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Пояснення очікуваного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впливу</w:t>
            </w:r>
          </w:p>
        </w:tc>
      </w:tr>
      <w:tr>
        <w:trPr>
          <w:hidden w:val="0"/>
        </w:trPr>
        <w:tc>
          <w:tcPr>
            <w:tcW w:type="dxa" w:w="317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Населення</w:t>
            </w:r>
          </w:p>
        </w:tc>
        <w:tc>
          <w:tcPr>
            <w:tcW w:type="dxa" w:w="31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type="dxa" w:w="317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Реалізація акта н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адасть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можливість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користуватися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швидкісним Інтернетом у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будь-якій точці України,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мати доступ до важливої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інформації та залишатися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на зв’язку з рідними</w:t>
            </w:r>
          </w:p>
        </w:tc>
      </w:tr>
      <w:tr>
        <w:trPr>
          <w:hidden w:val="0"/>
        </w:trPr>
        <w:tc>
          <w:tcPr>
            <w:tcW w:type="dxa" w:w="317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Мобільні оператори</w:t>
            </w:r>
          </w:p>
        </w:tc>
        <w:tc>
          <w:tcPr>
            <w:tcW w:type="dxa" w:w="31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</w:p>
        </w:tc>
        <w:tc>
          <w:tcPr>
            <w:tcW w:type="dxa" w:w="317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Реалізація акта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пришвидшить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будівництво базових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станцій рухомого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(мобільного) зв’язку та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надасть можливість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збільшити покриття ними </w:t>
            </w:r>
            <w:r>
              <w:rPr>
                <w:sz w:val="28"/>
                <w:szCs w:val="28"/>
                <w:highlight w:val="white"/>
                <w:rFonts w:ascii="Times New Roman" w:eastAsia="Times New Roman" w:hAnsi="Times New Roman" w:cs="Times New Roman"/>
              </w:rPr>
              <w:t xml:space="preserve">території України</w:t>
            </w:r>
          </w:p>
        </w:tc>
      </w:tr>
      <w:tr>
        <w:trPr>
          <w:hidden w:val="0"/>
        </w:trPr>
        <w:tc>
          <w:tcPr>
            <w:tcW w:type="dxa" w:w="317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Органи державної влади</w:t>
            </w:r>
          </w:p>
        </w:tc>
        <w:tc>
          <w:tcPr>
            <w:tcW w:type="dxa" w:w="31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type="dxa" w:w="317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Реалізація акта надасть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можливість залучати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додаткові кошти шляхом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надання комерційно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непривабливих площ в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оренду</w:t>
            </w:r>
          </w:p>
        </w:tc>
      </w:tr>
      <w:tr>
        <w:trPr>
          <w:hidden w:val="0"/>
        </w:trPr>
        <w:tc>
          <w:tcPr>
            <w:tcW w:type="dxa" w:w="3177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Органи місцевого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самоврядування</w:t>
            </w:r>
          </w:p>
        </w:tc>
        <w:tc>
          <w:tcPr>
            <w:tcW w:type="dxa" w:w="3171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Позитивний</w:t>
            </w:r>
          </w:p>
        </w:tc>
        <w:tc>
          <w:tcPr>
            <w:tcW w:type="dxa" w:w="3173"/>
            <w:tcMar>
              <w:left w:w="0" w:type="dxa"/>
              <w:right w:w="0" w:type="dxa"/>
            </w:tcMar>
            <w:vAlign w:val="top"/>
          </w:tcPr>
          <w:p>
            <w:pPr>
              <w:jc w:val="both"/>
              <w:rPr>
                <w:sz w:val="28"/>
                <w:szCs w:val="28"/>
                <w:rFonts w:ascii="Times New Roman" w:eastAsia="Times New Roman" w:hAnsi="Times New Roman" w:cs="Times New Roman"/>
              </w:rPr>
            </w:pP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Реалізація акта надасть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можливість залучати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додаткові кошти шляхом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надання комерційно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 xml:space="preserve">непривабливих площ в </w:t>
            </w:r>
            <w:r>
              <w:rPr>
                <w:sz w:val="28"/>
                <w:szCs w:val="28"/>
                <w:rFonts w:ascii="Times New Roman" w:eastAsia="Times New Roman" w:hAnsi="Times New Roman" w:cs="Times New Roman"/>
              </w:rPr>
              <w:t>оренду</w:t>
            </w:r>
          </w:p>
        </w:tc>
      </w:tr>
    </w:tbl>
    <w:p>
      <w:pPr>
        <w:jc w:val="both"/>
        <w:spacing w:lineRule="auto" w:line="240" w:before="120"/>
        <w:rPr>
          <w:sz w:val="28"/>
          <w:szCs w:val="28"/>
          <w:rFonts w:ascii="Times New Roman" w:eastAsia="Times New Roman" w:hAnsi="Times New Roman" w:cs="Times New Roman"/>
        </w:rPr>
      </w:pPr>
    </w:p>
    <w:p>
      <w:pPr>
        <w:jc w:val="both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Віце-прем'єр-міністр України – Міністр</w:t>
      </w:r>
    </w:p>
    <w:p>
      <w:pPr>
        <w:jc w:val="both"/>
        <w:spacing w:lineRule="auto" w:line="240"/>
        <w:rPr>
          <w:b w:val="1"/>
          <w:sz w:val="28"/>
          <w:szCs w:val="28"/>
          <w:rFonts w:ascii="Times New Roman" w:eastAsia="Times New Roman" w:hAnsi="Times New Roman" w:cs="Times New Roman"/>
        </w:rPr>
      </w:pP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цифрової трансформації України</w:t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ab/>
      </w:r>
      <w:r>
        <w:rPr>
          <w:b w:val="1"/>
          <w:sz w:val="28"/>
          <w:szCs w:val="28"/>
          <w:rFonts w:ascii="Times New Roman" w:eastAsia="Times New Roman" w:hAnsi="Times New Roman" w:cs="Times New Roman"/>
        </w:rPr>
        <w:t xml:space="preserve">      Михайло ФЕДОРОВ</w:t>
      </w:r>
    </w:p>
    <w:p>
      <w:pPr>
        <w:jc w:val="both"/>
        <w:spacing w:lineRule="auto" w:line="240" w:before="120"/>
        <w:rPr>
          <w:sz w:val="28"/>
          <w:szCs w:val="28"/>
          <w:rFonts w:ascii="Times New Roman" w:eastAsia="Times New Roman" w:hAnsi="Times New Roman" w:cs="Times New Roman"/>
        </w:rPr>
      </w:pPr>
      <w:bookmarkStart w:id="6" w:name="_tyjcwt"/>
      <w:bookmarkEnd w:id="6"/>
      <w:r>
        <w:rPr>
          <w:sz w:val="28"/>
          <w:szCs w:val="28"/>
          <w:rFonts w:ascii="Times New Roman" w:eastAsia="Times New Roman" w:hAnsi="Times New Roman" w:cs="Times New Roman"/>
        </w:rPr>
        <w:t xml:space="preserve">«____» ____________ 2021 р.</w:t>
      </w:r>
    </w:p>
    <w:sectPr>
      <w:titlePg/>
      <w15:footnoteColumns w:val="1"/>
      <w:headerReference w:type="default" r:id="rId5"/>
      <w:pgSz w:w="11909" w:h="16834"/>
      <w:pgMar w:top="993" w:left="1701" w:bottom="1134" w:right="569" w:footer="1125" w:gutter="0"/>
      <w:pgNumType w:fmt="decimal" w:start="1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jc w:val="center"/>
      <w:spacing w:lineRule="auto" w:line="240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677"/>
        <w:tab w:val="right" w:pos="9355"/>
      </w:tabs>
      <w:rPr>
        <w:color w:val="000000"/>
        <w:sz w:val="28"/>
        <w:szCs w:val="28"/>
        <w:rFonts w:ascii="Times New Roman" w:eastAsia="Times New Roman" w:hAnsi="Times New Roman" w:cs="Times New Roman"/>
      </w:rPr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color w:val="000000"/>
        <w:sz w:val="28"/>
        <w:szCs w:val="28"/>
        <w:rFonts w:ascii="Times New Roman" w:eastAsia="Times New Roman" w:hAnsi="Times New Roman" w:cs="Times New Roman"/>
      </w:rPr>
      <w:t>2</w:t>
    </w:r>
    <w:r>
      <w:rPr>
        <w:color w:val="000000"/>
        <w:sz w:val="28"/>
        <w:szCs w:val="28"/>
        <w:rFonts w:ascii="Times New Roman" w:eastAsia="Times New Roman" w:hAnsi="Times New Roman" w:cs="Times New Roman"/>
      </w:rPr>
      <w:fldChar w:fldCharType="end"/>
    </w:r>
  </w:p>
  <w:p>
    <w:pPr>
      <w:spacing w:lineRule="auto" w:line="240"/>
      <w:pBdr>
        <w:top w:val="nil" w:sz="0" w:space="0" w:color="000000"/>
        <w:bottom w:val="nil" w:sz="0" w:space="0" w:color="000000"/>
        <w:left w:val="nil" w:sz="0" w:space="0" w:color="000000"/>
        <w:right w:val="nil" w:sz="0" w:space="0" w:color="000000"/>
        <w:between w:val="nil" w:sz="0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/>
        <w:rPr/>
      </w:pPr>
    </w:pPrDefault>
    <w:rPrDefault>
      <w:rPr>
        <w:sz w:val="22"/>
        <w:szCs w:val="22"/>
        <w:rFonts w:ascii="Arial" w:eastAsia="Arial" w:hAnsi="Arial" w:cs="Arial"/>
        <w:lang w:bidi="ar-SA" w:eastAsia="ru-UA" w:val="uk-UA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qFormat/>
    <w:uiPriority w:val="6"/>
    <w:pPr>
      <w:spacing w:after="60"/>
      <w:rPr/>
    </w:pPr>
    <w:rPr>
      <w:sz w:val="52"/>
      <w:szCs w:val="52"/>
    </w:rPr>
  </w:style>
  <w:style w:styleId="PO7" w:type="paragraph">
    <w:name w:val="heading 1"/>
    <w:basedOn w:val="PO1"/>
    <w:qFormat/>
    <w:uiPriority w:val="7"/>
    <w:pPr>
      <w:spacing w:before="400" w:after="120"/>
      <w:rPr/>
      <w:outlineLvl w:val="0"/>
    </w:pPr>
    <w:rPr>
      <w:sz w:val="40"/>
      <w:szCs w:val="40"/>
    </w:rPr>
  </w:style>
  <w:style w:styleId="PO8" w:type="paragraph">
    <w:name w:val="heading 2"/>
    <w:basedOn w:val="PO1"/>
    <w:qFormat/>
    <w:uiPriority w:val="8"/>
    <w:semiHidden/>
    <w:unhideWhenUsed/>
    <w:pPr>
      <w:spacing w:before="360" w:after="120"/>
      <w:rPr/>
      <w:outlineLvl w:val="1"/>
    </w:pPr>
    <w:rPr>
      <w:sz w:val="32"/>
      <w:szCs w:val="32"/>
    </w:rPr>
  </w:style>
  <w:style w:styleId="PO9" w:type="paragraph">
    <w:name w:val="heading 3"/>
    <w:basedOn w:val="PO1"/>
    <w:qFormat/>
    <w:uiPriority w:val="9"/>
    <w:semiHidden/>
    <w:unhideWhenUsed/>
    <w:pPr>
      <w:spacing w:before="320" w:after="80"/>
      <w:rPr/>
      <w:outlineLvl w:val="2"/>
    </w:pPr>
    <w:rPr>
      <w:color w:val="434343"/>
      <w:sz w:val="28"/>
      <w:szCs w:val="28"/>
    </w:rPr>
  </w:style>
  <w:style w:styleId="PO10" w:type="paragraph">
    <w:name w:val="heading 4"/>
    <w:basedOn w:val="PO1"/>
    <w:qFormat/>
    <w:uiPriority w:val="10"/>
    <w:semiHidden/>
    <w:unhideWhenUsed/>
    <w:pPr>
      <w:spacing w:before="280" w:after="80"/>
      <w:rPr/>
      <w:outlineLvl w:val="3"/>
    </w:pPr>
    <w:rPr>
      <w:color w:val="666666"/>
      <w:sz w:val="24"/>
      <w:szCs w:val="24"/>
    </w:rPr>
  </w:style>
  <w:style w:styleId="PO11" w:type="paragraph">
    <w:name w:val="heading 5"/>
    <w:basedOn w:val="PO1"/>
    <w:qFormat/>
    <w:uiPriority w:val="11"/>
    <w:semiHidden/>
    <w:unhideWhenUsed/>
    <w:pPr>
      <w:spacing w:before="240" w:after="80"/>
      <w:rPr/>
      <w:outlineLvl w:val="4"/>
    </w:pPr>
    <w:rPr>
      <w:color w:val="666666"/>
    </w:rPr>
  </w:style>
  <w:style w:styleId="PO12" w:type="paragraph">
    <w:name w:val="heading 6"/>
    <w:basedOn w:val="PO1"/>
    <w:qFormat/>
    <w:uiPriority w:val="12"/>
    <w:semiHidden/>
    <w:unhideWhenUsed/>
    <w:pPr>
      <w:spacing w:before="240" w:after="80"/>
      <w:rPr/>
      <w:outlineLvl w:val="5"/>
    </w:pPr>
    <w:rPr>
      <w:i w:val="1"/>
      <w:color w:val="666666"/>
    </w:rPr>
  </w:style>
  <w:style w:styleId="PO16" w:type="paragraph">
    <w:name w:val="Subtitle"/>
    <w:basedOn w:val="PO1"/>
    <w:qFormat/>
    <w:uiPriority w:val="16"/>
    <w:pPr>
      <w:spacing w:after="320"/>
      <w:rPr/>
    </w:pPr>
    <w:rPr>
      <w:color w:val="666666"/>
      <w:sz w:val="30"/>
      <w:szCs w:val="30"/>
    </w:rPr>
  </w:style>
  <w:style w:customStyle="1" w:styleId="PO151" w:type="table">
    <w:name w:val="Table Normal"/>
    <w:uiPriority w:val="151"/>
    <w:tblPr>
      <w:tblCellMar>
        <w:bottom w:type="dxa" w:w="0"/>
        <w:left w:type="dxa" w:w="0"/>
        <w:right w:type="dxa" w:w="0"/>
        <w:top w:type="dxa" w:w="0"/>
      </w:tblCellMar>
    </w:tblPr>
  </w:style>
  <w:style w:customStyle="1" w:styleId="PO152" w:type="table">
    <w:name w:val="Standard"/>
    <w:basedOn w:val="PO151"/>
    <w:uiPriority w:val="152"/>
    <w:pPr>
      <w:spacing w:lineRule="auto" w:line="240"/>
      <w:rPr/>
    </w:pPr>
    <w:rPr>
      <w:rFonts w:ascii="Cambria" w:eastAsia="Cambria" w:hAnsi="Cambria" w:cs="Cambria"/>
    </w:rPr>
    <w:tblPr>
      <w:tblCellMar>
        <w:bottom w:type="dxa" w:w="0"/>
        <w:left w:type="dxa" w:w="108"/>
        <w:right w:type="dxa" w:w="108"/>
        <w:top w:type="dxa" w:w="0"/>
      </w:tblCellMar>
      <w:tblStyleColBandSize w:val="1"/>
      <w:tblStyleRowBandSize w:val="1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54</Lines>
  <LinksUpToDate>false</LinksUpToDate>
  <Pages>4</Pages>
  <Paragraphs>15</Paragraphs>
  <Words>1140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Кічак Юлія Василівна</dc:creator>
  <cp:lastModifiedBy/>
  <dcterms:modified xsi:type="dcterms:W3CDTF">2021-02-16T13:35:00Z</dcterms:modified>
</cp:coreProperties>
</file>