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D65A3" w14:textId="3F80CB09" w:rsidR="0008219D" w:rsidRPr="00B93F41" w:rsidRDefault="00E26459" w:rsidP="00953DE1">
      <w:pPr>
        <w:pBdr>
          <w:top w:val="nil"/>
          <w:left w:val="nil"/>
          <w:bottom w:val="nil"/>
          <w:right w:val="nil"/>
          <w:between w:val="nil"/>
        </w:pBdr>
        <w:tabs>
          <w:tab w:val="left" w:pos="1134"/>
        </w:tabs>
        <w:ind w:left="-91" w:right="-31" w:firstLine="902"/>
        <w:contextualSpacing/>
        <w:jc w:val="center"/>
        <w:rPr>
          <w:color w:val="000000"/>
          <w:sz w:val="28"/>
          <w:szCs w:val="28"/>
        </w:rPr>
      </w:pPr>
      <w:r w:rsidRPr="00B93F41">
        <w:rPr>
          <w:b/>
          <w:color w:val="000000"/>
          <w:sz w:val="28"/>
          <w:szCs w:val="28"/>
        </w:rPr>
        <w:t>ПОЯСНЮВАЛЬНА ЗАПИСКА</w:t>
      </w:r>
    </w:p>
    <w:p w14:paraId="6829B67E" w14:textId="77777777" w:rsidR="00160ADF" w:rsidRPr="00B93F41" w:rsidRDefault="00E26459" w:rsidP="00953DE1">
      <w:pPr>
        <w:pStyle w:val="1"/>
        <w:spacing w:before="0" w:after="0"/>
        <w:ind w:left="-91" w:right="-31" w:firstLine="902"/>
        <w:contextualSpacing/>
        <w:jc w:val="center"/>
        <w:rPr>
          <w:bCs/>
          <w:sz w:val="28"/>
          <w:szCs w:val="28"/>
        </w:rPr>
      </w:pPr>
      <w:r w:rsidRPr="00B93F41">
        <w:rPr>
          <w:color w:val="000000"/>
          <w:sz w:val="28"/>
          <w:szCs w:val="28"/>
        </w:rPr>
        <w:t>до про</w:t>
      </w:r>
      <w:r w:rsidR="00731953" w:rsidRPr="00B93F41">
        <w:rPr>
          <w:color w:val="000000"/>
          <w:sz w:val="28"/>
          <w:szCs w:val="28"/>
        </w:rPr>
        <w:t>е</w:t>
      </w:r>
      <w:r w:rsidRPr="00B93F41">
        <w:rPr>
          <w:color w:val="000000"/>
          <w:sz w:val="28"/>
          <w:szCs w:val="28"/>
        </w:rPr>
        <w:t>кту постанови Кабінету Міністрів України</w:t>
      </w:r>
      <w:r w:rsidRPr="00B93F41">
        <w:rPr>
          <w:color w:val="000000"/>
          <w:sz w:val="28"/>
          <w:szCs w:val="28"/>
        </w:rPr>
        <w:br/>
      </w:r>
      <w:r w:rsidR="00160ADF" w:rsidRPr="00B93F41">
        <w:rPr>
          <w:bCs/>
          <w:sz w:val="28"/>
          <w:szCs w:val="28"/>
        </w:rPr>
        <w:t>“Про внесення змін до деяких постанов Кабінету Міністрів України”</w:t>
      </w:r>
    </w:p>
    <w:p w14:paraId="4BBEA756" w14:textId="1ACA9102" w:rsidR="002E001A" w:rsidRPr="00B93F41" w:rsidRDefault="002E001A" w:rsidP="00953DE1">
      <w:pPr>
        <w:pStyle w:val="1"/>
        <w:spacing w:before="0" w:after="0"/>
        <w:ind w:left="-91" w:right="-31" w:firstLine="902"/>
        <w:contextualSpacing/>
        <w:jc w:val="center"/>
        <w:rPr>
          <w:sz w:val="40"/>
          <w:szCs w:val="40"/>
        </w:rPr>
      </w:pPr>
    </w:p>
    <w:p w14:paraId="3036892A" w14:textId="2E896AE6" w:rsidR="00454CF8" w:rsidRPr="00B93F41" w:rsidRDefault="00454CF8" w:rsidP="00953DE1">
      <w:pPr>
        <w:pStyle w:val="1"/>
        <w:spacing w:before="0" w:after="0"/>
        <w:ind w:left="-91" w:right="-31" w:firstLine="902"/>
        <w:contextualSpacing/>
        <w:rPr>
          <w:sz w:val="28"/>
          <w:szCs w:val="28"/>
        </w:rPr>
      </w:pPr>
      <w:r w:rsidRPr="00B93F41">
        <w:rPr>
          <w:sz w:val="28"/>
          <w:szCs w:val="28"/>
        </w:rPr>
        <w:t>1. Мета</w:t>
      </w:r>
    </w:p>
    <w:p w14:paraId="04EF4326" w14:textId="542D20B2" w:rsidR="00454CF8" w:rsidRPr="00B93F41" w:rsidRDefault="00454CF8" w:rsidP="00953DE1">
      <w:pPr>
        <w:pBdr>
          <w:top w:val="nil"/>
          <w:left w:val="nil"/>
          <w:bottom w:val="nil"/>
          <w:right w:val="nil"/>
          <w:between w:val="nil"/>
        </w:pBdr>
        <w:tabs>
          <w:tab w:val="left" w:pos="1134"/>
        </w:tabs>
        <w:ind w:left="-91" w:right="-31" w:firstLine="709"/>
        <w:contextualSpacing/>
        <w:jc w:val="both"/>
        <w:rPr>
          <w:color w:val="000000"/>
          <w:sz w:val="28"/>
          <w:szCs w:val="28"/>
        </w:rPr>
      </w:pPr>
      <w:r w:rsidRPr="00B93F41">
        <w:rPr>
          <w:sz w:val="28"/>
          <w:szCs w:val="28"/>
        </w:rPr>
        <w:t xml:space="preserve">Проект постанови Кабінету Міністрів України </w:t>
      </w:r>
      <w:r w:rsidR="00160ADF" w:rsidRPr="00B93F41">
        <w:rPr>
          <w:sz w:val="28"/>
          <w:szCs w:val="28"/>
        </w:rPr>
        <w:t xml:space="preserve">“Про внесення змін до деяких постанов Кабінету Міністрів України” </w:t>
      </w:r>
      <w:r w:rsidR="001438C8" w:rsidRPr="00B93F41">
        <w:rPr>
          <w:sz w:val="28"/>
          <w:szCs w:val="28"/>
        </w:rPr>
        <w:t xml:space="preserve">(далі – проект </w:t>
      </w:r>
      <w:proofErr w:type="spellStart"/>
      <w:r w:rsidR="001438C8" w:rsidRPr="00B93F41">
        <w:rPr>
          <w:sz w:val="28"/>
          <w:szCs w:val="28"/>
        </w:rPr>
        <w:t>акта</w:t>
      </w:r>
      <w:proofErr w:type="spellEnd"/>
      <w:r w:rsidR="001438C8" w:rsidRPr="00B93F41">
        <w:rPr>
          <w:sz w:val="28"/>
          <w:szCs w:val="28"/>
        </w:rPr>
        <w:t xml:space="preserve">) </w:t>
      </w:r>
      <w:r w:rsidRPr="00B93F41">
        <w:rPr>
          <w:sz w:val="28"/>
          <w:szCs w:val="28"/>
        </w:rPr>
        <w:t xml:space="preserve">розроблено з метою </w:t>
      </w:r>
      <w:r w:rsidR="00D16105" w:rsidRPr="00B93F41">
        <w:rPr>
          <w:sz w:val="28"/>
          <w:szCs w:val="28"/>
        </w:rPr>
        <w:t>в</w:t>
      </w:r>
      <w:r w:rsidR="00160ADF" w:rsidRPr="00B93F41">
        <w:rPr>
          <w:sz w:val="28"/>
          <w:szCs w:val="28"/>
        </w:rPr>
        <w:t>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адміністративною збору за надання адміністративних послуг.</w:t>
      </w:r>
    </w:p>
    <w:p w14:paraId="4BC32195" w14:textId="77777777" w:rsidR="001C2104" w:rsidRPr="00B93F41" w:rsidRDefault="00454CF8" w:rsidP="00953DE1">
      <w:pPr>
        <w:pStyle w:val="3"/>
        <w:ind w:left="-91" w:right="-31" w:firstLine="709"/>
        <w:contextualSpacing/>
        <w:jc w:val="both"/>
      </w:pPr>
      <w:r w:rsidRPr="00B93F41">
        <w:t xml:space="preserve">2. Обґрунтування необхідності прийняття </w:t>
      </w:r>
      <w:proofErr w:type="spellStart"/>
      <w:r w:rsidRPr="00B93F41">
        <w:t>акта</w:t>
      </w:r>
      <w:proofErr w:type="spellEnd"/>
    </w:p>
    <w:p w14:paraId="561D5AEA" w14:textId="77777777" w:rsidR="00BD74CC" w:rsidRPr="00B93F41" w:rsidRDefault="00AC7BE7" w:rsidP="00BD74CC">
      <w:pPr>
        <w:pStyle w:val="3"/>
        <w:ind w:right="-31" w:firstLine="709"/>
        <w:contextualSpacing/>
        <w:jc w:val="both"/>
        <w:rPr>
          <w:b w:val="0"/>
        </w:rPr>
      </w:pPr>
      <w:r w:rsidRPr="00B93F41">
        <w:rPr>
          <w:b w:val="0"/>
        </w:rPr>
        <w:t xml:space="preserve">Проект </w:t>
      </w:r>
      <w:proofErr w:type="spellStart"/>
      <w:r w:rsidRPr="00B93F41">
        <w:rPr>
          <w:b w:val="0"/>
        </w:rPr>
        <w:t>акта</w:t>
      </w:r>
      <w:proofErr w:type="spellEnd"/>
      <w:r w:rsidRPr="00B93F41">
        <w:rPr>
          <w:b w:val="0"/>
        </w:rPr>
        <w:t xml:space="preserve"> розроблено на виконання </w:t>
      </w:r>
      <w:r w:rsidR="00361316" w:rsidRPr="00B93F41">
        <w:rPr>
          <w:b w:val="0"/>
        </w:rPr>
        <w:t xml:space="preserve">підпункту 6 пункту 1 Указу Президента України № 647/2019 </w:t>
      </w:r>
      <w:bookmarkStart w:id="0" w:name="_Hlk71126737"/>
      <w:r w:rsidR="00361316" w:rsidRPr="00B93F41">
        <w:rPr>
          <w:b w:val="0"/>
        </w:rPr>
        <w:t>“</w:t>
      </w:r>
      <w:bookmarkEnd w:id="0"/>
      <w:r w:rsidR="00361316" w:rsidRPr="00B93F41">
        <w:rPr>
          <w:b w:val="0"/>
        </w:rPr>
        <w:t>Про деякі заходи із забезпечення надання якісних публічних послуг</w:t>
      </w:r>
      <w:bookmarkStart w:id="1" w:name="_Hlk71126767"/>
      <w:r w:rsidR="00361316" w:rsidRPr="00B93F41">
        <w:rPr>
          <w:b w:val="0"/>
        </w:rPr>
        <w:t>”</w:t>
      </w:r>
      <w:bookmarkEnd w:id="1"/>
      <w:r w:rsidR="00361316" w:rsidRPr="00B93F41">
        <w:rPr>
          <w:b w:val="0"/>
        </w:rPr>
        <w:t xml:space="preserve">, </w:t>
      </w:r>
      <w:r w:rsidR="006C134D" w:rsidRPr="00B93F41">
        <w:rPr>
          <w:b w:val="0"/>
        </w:rPr>
        <w:t>як</w:t>
      </w:r>
      <w:r w:rsidR="00361316" w:rsidRPr="00B93F41">
        <w:rPr>
          <w:b w:val="0"/>
        </w:rPr>
        <w:t>им</w:t>
      </w:r>
      <w:r w:rsidR="006C134D" w:rsidRPr="00B93F41">
        <w:rPr>
          <w:b w:val="0"/>
        </w:rPr>
        <w:t xml:space="preserve"> передбачено</w:t>
      </w:r>
      <w:r w:rsidR="00361316" w:rsidRPr="00B93F41">
        <w:rPr>
          <w:b w:val="0"/>
        </w:rPr>
        <w:t xml:space="preserve"> Кабінету Міністрів України забезпечити </w:t>
      </w:r>
      <w:r w:rsidR="006A08ED" w:rsidRPr="00B93F41">
        <w:rPr>
          <w:b w:val="0"/>
        </w:rPr>
        <w:t>в</w:t>
      </w:r>
      <w:r w:rsidR="00361316" w:rsidRPr="00B93F41">
        <w:rPr>
          <w:b w:val="0"/>
        </w:rPr>
        <w:t>регулювання питання плати за надання адміністративних послуг (адміністративного збору) шляхом запровадження єдиних засад визначення розмірів адміністративною збору за надання адміністративних послуг, порядку його сплати та використання.</w:t>
      </w:r>
    </w:p>
    <w:p w14:paraId="104268D4" w14:textId="7AE4C54D" w:rsidR="00B33512" w:rsidRPr="00B93F41" w:rsidRDefault="00B33512" w:rsidP="00BD74CC">
      <w:pPr>
        <w:pStyle w:val="3"/>
        <w:ind w:right="-31" w:firstLine="709"/>
        <w:contextualSpacing/>
        <w:jc w:val="both"/>
        <w:rPr>
          <w:b w:val="0"/>
          <w:bCs/>
        </w:rPr>
      </w:pPr>
      <w:r w:rsidRPr="00B93F41">
        <w:rPr>
          <w:b w:val="0"/>
          <w:bCs/>
        </w:rPr>
        <w:t>Зокрема</w:t>
      </w:r>
      <w:bookmarkStart w:id="2" w:name="_Hlk77229760"/>
      <w:r w:rsidRPr="00B93F41">
        <w:rPr>
          <w:b w:val="0"/>
          <w:bCs/>
        </w:rPr>
        <w:t xml:space="preserve">, підпунктом 1 пункту 40 Плану заходів на 2021-2023 роки з реалізації Державної стратегії регіонального розвитку на 2021-2027 роки, затвердженого розпорядженням Кабінету Міністрів України від 12 травня </w:t>
      </w:r>
      <w:r w:rsidR="00CF36FC" w:rsidRPr="00B93F41">
        <w:rPr>
          <w:b w:val="0"/>
          <w:bCs/>
        </w:rPr>
        <w:br/>
      </w:r>
      <w:r w:rsidRPr="00B93F41">
        <w:rPr>
          <w:b w:val="0"/>
          <w:bCs/>
        </w:rPr>
        <w:t>2021 р. № 497-р</w:t>
      </w:r>
      <w:bookmarkEnd w:id="2"/>
      <w:r w:rsidRPr="00B93F41">
        <w:rPr>
          <w:b w:val="0"/>
          <w:bCs/>
        </w:rPr>
        <w:t>, передбачено актуалізацію актів законодавства щодо порядку та методики розрахунку розміру плати за надання адміністративної послуги (адміністративного збору) до 1 грудня 2021 року.</w:t>
      </w:r>
    </w:p>
    <w:p w14:paraId="51FE933D" w14:textId="67A5C89F" w:rsidR="00EA3D41" w:rsidRPr="00B93F41" w:rsidRDefault="00EA3D41" w:rsidP="00953DE1">
      <w:pPr>
        <w:ind w:firstLine="709"/>
        <w:contextualSpacing/>
        <w:jc w:val="both"/>
        <w:rPr>
          <w:sz w:val="28"/>
          <w:szCs w:val="28"/>
        </w:rPr>
      </w:pPr>
      <w:r w:rsidRPr="00B93F41">
        <w:rPr>
          <w:bCs/>
          <w:sz w:val="28"/>
          <w:szCs w:val="28"/>
        </w:rPr>
        <w:t xml:space="preserve">На сьогоднішній день </w:t>
      </w:r>
      <w:r w:rsidR="003D1713" w:rsidRPr="00B93F41">
        <w:rPr>
          <w:bCs/>
          <w:sz w:val="28"/>
          <w:szCs w:val="28"/>
        </w:rPr>
        <w:t>значна кількість</w:t>
      </w:r>
      <w:r w:rsidRPr="00B93F41">
        <w:rPr>
          <w:bCs/>
          <w:sz w:val="28"/>
          <w:szCs w:val="28"/>
        </w:rPr>
        <w:t xml:space="preserve"> адміністративних послуг мають </w:t>
      </w:r>
      <w:r w:rsidR="003D1713" w:rsidRPr="00B93F41">
        <w:rPr>
          <w:bCs/>
          <w:sz w:val="28"/>
          <w:szCs w:val="28"/>
        </w:rPr>
        <w:t>настільки низькі</w:t>
      </w:r>
      <w:r w:rsidRPr="00B93F41">
        <w:rPr>
          <w:bCs/>
          <w:sz w:val="28"/>
          <w:szCs w:val="28"/>
        </w:rPr>
        <w:t xml:space="preserve"> розміри адміністративного збору (наприклад, адміністративний збір за реєстрацію шлюбу становить 0,85 грн), </w:t>
      </w:r>
      <w:r w:rsidR="00BD74CC" w:rsidRPr="00B93F41">
        <w:rPr>
          <w:bCs/>
          <w:sz w:val="28"/>
          <w:szCs w:val="28"/>
        </w:rPr>
        <w:t>які</w:t>
      </w:r>
      <w:r w:rsidRPr="00B93F41">
        <w:rPr>
          <w:bCs/>
          <w:sz w:val="28"/>
          <w:szCs w:val="28"/>
        </w:rPr>
        <w:t xml:space="preserve"> </w:t>
      </w:r>
      <w:r w:rsidR="00BD74CC" w:rsidRPr="00B93F41">
        <w:rPr>
          <w:bCs/>
          <w:sz w:val="28"/>
          <w:szCs w:val="28"/>
        </w:rPr>
        <w:t>є</w:t>
      </w:r>
      <w:r w:rsidRPr="00B93F41">
        <w:rPr>
          <w:bCs/>
          <w:sz w:val="28"/>
          <w:szCs w:val="28"/>
        </w:rPr>
        <w:t xml:space="preserve"> навіть </w:t>
      </w:r>
      <w:r w:rsidR="00BD74CC" w:rsidRPr="00B93F41">
        <w:rPr>
          <w:bCs/>
          <w:sz w:val="28"/>
          <w:szCs w:val="28"/>
        </w:rPr>
        <w:t xml:space="preserve">нижчими за </w:t>
      </w:r>
      <w:r w:rsidRPr="00B93F41">
        <w:rPr>
          <w:bCs/>
          <w:sz w:val="28"/>
          <w:szCs w:val="28"/>
        </w:rPr>
        <w:t>витрат</w:t>
      </w:r>
      <w:r w:rsidR="00BD74CC" w:rsidRPr="00B93F41">
        <w:rPr>
          <w:bCs/>
          <w:sz w:val="28"/>
          <w:szCs w:val="28"/>
        </w:rPr>
        <w:t>и</w:t>
      </w:r>
      <w:r w:rsidRPr="00B93F41">
        <w:rPr>
          <w:bCs/>
          <w:sz w:val="28"/>
          <w:szCs w:val="28"/>
        </w:rPr>
        <w:t xml:space="preserve"> на сплату комісійної винагороди за банківські послуги</w:t>
      </w:r>
      <w:r w:rsidR="00BD74CC" w:rsidRPr="00B93F41">
        <w:rPr>
          <w:bCs/>
          <w:sz w:val="28"/>
          <w:szCs w:val="28"/>
        </w:rPr>
        <w:t xml:space="preserve"> при справлянні такого збору</w:t>
      </w:r>
      <w:r w:rsidRPr="00B93F41">
        <w:rPr>
          <w:bCs/>
          <w:sz w:val="28"/>
          <w:szCs w:val="28"/>
        </w:rPr>
        <w:t>.</w:t>
      </w:r>
    </w:p>
    <w:p w14:paraId="10F6496C" w14:textId="383BD318" w:rsidR="00C042B3" w:rsidRPr="00B93F41" w:rsidRDefault="00FC00A8" w:rsidP="00953DE1">
      <w:pPr>
        <w:ind w:right="-31" w:firstLine="709"/>
        <w:contextualSpacing/>
        <w:jc w:val="both"/>
        <w:rPr>
          <w:sz w:val="28"/>
          <w:szCs w:val="28"/>
        </w:rPr>
      </w:pPr>
      <w:r w:rsidRPr="00B93F41">
        <w:rPr>
          <w:sz w:val="28"/>
          <w:szCs w:val="28"/>
        </w:rPr>
        <w:t xml:space="preserve">Водночас, </w:t>
      </w:r>
      <w:r w:rsidR="006869DF" w:rsidRPr="00B93F41">
        <w:rPr>
          <w:sz w:val="28"/>
          <w:szCs w:val="28"/>
        </w:rPr>
        <w:t>поширеною також є практика встановлення</w:t>
      </w:r>
      <w:r w:rsidRPr="00B93F41">
        <w:rPr>
          <w:sz w:val="28"/>
          <w:szCs w:val="28"/>
        </w:rPr>
        <w:t xml:space="preserve"> </w:t>
      </w:r>
      <w:r w:rsidR="006869DF" w:rsidRPr="00B93F41">
        <w:rPr>
          <w:sz w:val="28"/>
          <w:szCs w:val="28"/>
        </w:rPr>
        <w:t xml:space="preserve">або перегляду адміністративних зборів </w:t>
      </w:r>
      <w:r w:rsidRPr="00B93F41">
        <w:rPr>
          <w:sz w:val="28"/>
          <w:szCs w:val="28"/>
        </w:rPr>
        <w:t xml:space="preserve">без </w:t>
      </w:r>
      <w:r w:rsidR="006869DF" w:rsidRPr="00B93F41">
        <w:rPr>
          <w:sz w:val="28"/>
          <w:szCs w:val="28"/>
        </w:rPr>
        <w:t xml:space="preserve">належних </w:t>
      </w:r>
      <w:r w:rsidRPr="00B93F41">
        <w:rPr>
          <w:sz w:val="28"/>
          <w:szCs w:val="28"/>
        </w:rPr>
        <w:t>о</w:t>
      </w:r>
      <w:r w:rsidR="00C8430A" w:rsidRPr="00B93F41">
        <w:rPr>
          <w:sz w:val="28"/>
          <w:szCs w:val="28"/>
        </w:rPr>
        <w:t>бґрунтувань</w:t>
      </w:r>
      <w:r w:rsidRPr="00B93F41">
        <w:rPr>
          <w:sz w:val="28"/>
          <w:szCs w:val="28"/>
        </w:rPr>
        <w:t xml:space="preserve"> такої вартості</w:t>
      </w:r>
      <w:r w:rsidR="006869DF" w:rsidRPr="00B93F41">
        <w:rPr>
          <w:sz w:val="28"/>
          <w:szCs w:val="28"/>
        </w:rPr>
        <w:t>, що негативно сприймається суспільством</w:t>
      </w:r>
      <w:r w:rsidRPr="00B93F41">
        <w:rPr>
          <w:sz w:val="28"/>
          <w:szCs w:val="28"/>
        </w:rPr>
        <w:t>.</w:t>
      </w:r>
    </w:p>
    <w:p w14:paraId="1D489CA0" w14:textId="3D434D0F" w:rsidR="00EA3D41" w:rsidRPr="00B93F41" w:rsidRDefault="00EA3D41" w:rsidP="00953DE1">
      <w:pPr>
        <w:ind w:right="-31"/>
        <w:contextualSpacing/>
        <w:jc w:val="both"/>
        <w:rPr>
          <w:sz w:val="28"/>
        </w:rPr>
      </w:pPr>
      <w:r w:rsidRPr="00B93F41">
        <w:rPr>
          <w:sz w:val="28"/>
          <w:szCs w:val="28"/>
        </w:rPr>
        <w:tab/>
      </w:r>
      <w:r w:rsidR="006869DF" w:rsidRPr="00B93F41">
        <w:rPr>
          <w:sz w:val="28"/>
          <w:szCs w:val="28"/>
        </w:rPr>
        <w:t>Н</w:t>
      </w:r>
      <w:r w:rsidRPr="00B93F41">
        <w:rPr>
          <w:sz w:val="28"/>
          <w:szCs w:val="28"/>
        </w:rPr>
        <w:t xml:space="preserve">едоотримання коштів суб’єктами надання адміністративних послуг впливає на їх стійкість та якість надання відповідних послуг та спричиняє </w:t>
      </w:r>
      <w:r w:rsidRPr="00B93F41">
        <w:rPr>
          <w:sz w:val="28"/>
        </w:rPr>
        <w:t xml:space="preserve">недостатність ресурсів для забезпечення організації надання адміністративних послуг, оскільки </w:t>
      </w:r>
      <w:r w:rsidR="006156D1" w:rsidRPr="00B93F41">
        <w:rPr>
          <w:sz w:val="28"/>
        </w:rPr>
        <w:t>значна кількість</w:t>
      </w:r>
      <w:r w:rsidRPr="00B93F41">
        <w:rPr>
          <w:sz w:val="28"/>
        </w:rPr>
        <w:t xml:space="preserve"> послуг визначені законами як безоплатні для суб’єктів звернення або розміри </w:t>
      </w:r>
      <w:r w:rsidR="003D1713" w:rsidRPr="00B93F41">
        <w:rPr>
          <w:sz w:val="28"/>
        </w:rPr>
        <w:t>адміністративного збору є нижчими за витрати на надання відповідних послуг</w:t>
      </w:r>
      <w:r w:rsidR="006156D1" w:rsidRPr="00B93F41">
        <w:rPr>
          <w:sz w:val="28"/>
        </w:rPr>
        <w:t>.</w:t>
      </w:r>
    </w:p>
    <w:p w14:paraId="59EFFE5B" w14:textId="66FDD4F4" w:rsidR="00B33512" w:rsidRPr="00B93F41" w:rsidRDefault="00B33512" w:rsidP="00953DE1">
      <w:pPr>
        <w:ind w:right="-31"/>
        <w:contextualSpacing/>
        <w:jc w:val="both"/>
        <w:rPr>
          <w:sz w:val="28"/>
        </w:rPr>
      </w:pPr>
    </w:p>
    <w:p w14:paraId="32DF840F" w14:textId="047BDEB7" w:rsidR="00B33512" w:rsidRPr="00B93F41" w:rsidRDefault="00B33512" w:rsidP="00953DE1">
      <w:pPr>
        <w:ind w:right="-31"/>
        <w:contextualSpacing/>
        <w:jc w:val="both"/>
        <w:rPr>
          <w:sz w:val="28"/>
        </w:rPr>
      </w:pPr>
    </w:p>
    <w:p w14:paraId="1F1BD53E" w14:textId="09D07F4C" w:rsidR="00C46D7C" w:rsidRPr="00B93F41" w:rsidRDefault="00C46D7C" w:rsidP="00953DE1">
      <w:pPr>
        <w:ind w:right="-31"/>
        <w:contextualSpacing/>
        <w:jc w:val="both"/>
        <w:rPr>
          <w:sz w:val="28"/>
        </w:rPr>
      </w:pPr>
    </w:p>
    <w:p w14:paraId="1EB03CEF" w14:textId="6A1E6ABF" w:rsidR="00C46D7C" w:rsidRPr="00B93F41" w:rsidRDefault="00C46D7C" w:rsidP="00953DE1">
      <w:pPr>
        <w:ind w:right="-31"/>
        <w:contextualSpacing/>
        <w:jc w:val="both"/>
        <w:rPr>
          <w:sz w:val="28"/>
        </w:rPr>
      </w:pPr>
    </w:p>
    <w:p w14:paraId="2BF21DFE" w14:textId="77777777" w:rsidR="00C46D7C" w:rsidRPr="00B93F41" w:rsidRDefault="00C46D7C" w:rsidP="00953DE1">
      <w:pPr>
        <w:ind w:right="-31"/>
        <w:contextualSpacing/>
        <w:jc w:val="both"/>
        <w:rPr>
          <w:sz w:val="28"/>
        </w:rPr>
      </w:pPr>
    </w:p>
    <w:p w14:paraId="487551F4" w14:textId="6C15B666" w:rsidR="00205C24" w:rsidRPr="00B93F41" w:rsidRDefault="00205C24" w:rsidP="00953DE1">
      <w:pPr>
        <w:ind w:right="-31" w:firstLine="720"/>
        <w:contextualSpacing/>
        <w:jc w:val="both"/>
        <w:rPr>
          <w:sz w:val="28"/>
        </w:rPr>
      </w:pPr>
      <w:r w:rsidRPr="00B93F41">
        <w:rPr>
          <w:sz w:val="28"/>
        </w:rPr>
        <w:lastRenderedPageBreak/>
        <w:t xml:space="preserve">Наразі </w:t>
      </w:r>
      <w:r w:rsidR="008D3045" w:rsidRPr="00B93F41">
        <w:rPr>
          <w:sz w:val="28"/>
        </w:rPr>
        <w:t xml:space="preserve">відсутній єдиний системний </w:t>
      </w:r>
      <w:r w:rsidRPr="00B93F41">
        <w:rPr>
          <w:sz w:val="28"/>
        </w:rPr>
        <w:t>підх</w:t>
      </w:r>
      <w:r w:rsidR="008D3045" w:rsidRPr="00B93F41">
        <w:rPr>
          <w:sz w:val="28"/>
        </w:rPr>
        <w:t>ід</w:t>
      </w:r>
      <w:r w:rsidRPr="00B93F41">
        <w:rPr>
          <w:sz w:val="28"/>
        </w:rPr>
        <w:t xml:space="preserve"> до розрахунку та встановлення адміністративн</w:t>
      </w:r>
      <w:r w:rsidR="008D3045" w:rsidRPr="00B93F41">
        <w:rPr>
          <w:sz w:val="28"/>
        </w:rPr>
        <w:t>ого</w:t>
      </w:r>
      <w:r w:rsidRPr="00B93F41">
        <w:rPr>
          <w:sz w:val="28"/>
        </w:rPr>
        <w:t xml:space="preserve"> збор</w:t>
      </w:r>
      <w:r w:rsidR="008D3045" w:rsidRPr="00B93F41">
        <w:rPr>
          <w:sz w:val="28"/>
        </w:rPr>
        <w:t>у</w:t>
      </w:r>
      <w:r w:rsidRPr="00B93F41">
        <w:rPr>
          <w:sz w:val="28"/>
        </w:rPr>
        <w:t xml:space="preserve">, збори встановлюються нормативно-правовими актами різної юридичної сили, окремі з них не переглядались десятиріччями, а тому втратили свою актуальність, розрахунки зборів </w:t>
      </w:r>
      <w:r w:rsidR="008D3045" w:rsidRPr="00B93F41">
        <w:rPr>
          <w:sz w:val="28"/>
        </w:rPr>
        <w:t xml:space="preserve">переважно </w:t>
      </w:r>
      <w:r w:rsidRPr="00B93F41">
        <w:rPr>
          <w:sz w:val="28"/>
        </w:rPr>
        <w:t>не</w:t>
      </w:r>
      <w:r w:rsidR="00000210" w:rsidRPr="00B93F41">
        <w:rPr>
          <w:sz w:val="28"/>
        </w:rPr>
        <w:br/>
      </w:r>
      <w:r w:rsidRPr="00B93F41">
        <w:rPr>
          <w:sz w:val="28"/>
        </w:rPr>
        <w:t xml:space="preserve">публікувались для </w:t>
      </w:r>
      <w:r w:rsidR="008D3045" w:rsidRPr="00B93F41">
        <w:rPr>
          <w:sz w:val="28"/>
        </w:rPr>
        <w:t>громадського обговорення, дані для розрахунків системно не збирались.</w:t>
      </w:r>
    </w:p>
    <w:p w14:paraId="6C589510" w14:textId="66F9F501" w:rsidR="001B0215" w:rsidRPr="00B93F41" w:rsidRDefault="001B0215" w:rsidP="00953DE1">
      <w:pPr>
        <w:ind w:right="-31" w:firstLine="720"/>
        <w:contextualSpacing/>
        <w:jc w:val="both"/>
        <w:rPr>
          <w:sz w:val="28"/>
        </w:rPr>
      </w:pPr>
      <w:r w:rsidRPr="00B93F41">
        <w:rPr>
          <w:sz w:val="28"/>
        </w:rPr>
        <w:t xml:space="preserve">У 2021 році </w:t>
      </w:r>
      <w:proofErr w:type="spellStart"/>
      <w:r w:rsidRPr="00B93F41">
        <w:rPr>
          <w:sz w:val="28"/>
        </w:rPr>
        <w:t>Мінцифри</w:t>
      </w:r>
      <w:proofErr w:type="spellEnd"/>
      <w:r w:rsidRPr="00B93F41">
        <w:rPr>
          <w:sz w:val="28"/>
        </w:rPr>
        <w:t xml:space="preserve"> проведено аналіз доходів</w:t>
      </w:r>
      <w:r w:rsidR="00206660" w:rsidRPr="00B93F41">
        <w:rPr>
          <w:sz w:val="28"/>
        </w:rPr>
        <w:t xml:space="preserve"> і видатків</w:t>
      </w:r>
      <w:r w:rsidRPr="00B93F41">
        <w:rPr>
          <w:sz w:val="28"/>
        </w:rPr>
        <w:t xml:space="preserve"> 943 центрів надання адміністративних послуг за 2020 рік, за результатом якого виявлено, що 65% центрів є значно збитковими (витрати на їх функціонування перевищують доходи більше ніж на 20%) і лише 19 % центрів є рентабельними. Така статистика, зокрема, пов’язана із тим, що розміри адміністративних зборів не відповідають реальній собівартості надання адміністративних послуг.</w:t>
      </w:r>
    </w:p>
    <w:p w14:paraId="6F51C5EA" w14:textId="2BF2EA71" w:rsidR="008D3045" w:rsidRPr="00B93F41" w:rsidRDefault="009B525A" w:rsidP="00953DE1">
      <w:pPr>
        <w:ind w:right="-31"/>
        <w:contextualSpacing/>
        <w:jc w:val="both"/>
        <w:rPr>
          <w:sz w:val="28"/>
        </w:rPr>
      </w:pPr>
      <w:r w:rsidRPr="00B93F41">
        <w:rPr>
          <w:sz w:val="28"/>
        </w:rPr>
        <w:tab/>
        <w:t>З метою вивчення загальних принципів формування вартості адміністративних послуг у різних країнах та успішних прикладів та моделей розрахунку та встановлення розмірів адміністративних зборів було досліджено досвід 9 зарубіжних країн (США, Нова Зеландія, Фінляндія, Естонія, Німеччина Австралія, Велика Британія, Канада, Швейцарія).</w:t>
      </w:r>
    </w:p>
    <w:p w14:paraId="219DDA5D" w14:textId="35FC03E3" w:rsidR="009B525A" w:rsidRPr="00B93F41" w:rsidRDefault="009B525A" w:rsidP="00953DE1">
      <w:pPr>
        <w:ind w:right="-31"/>
        <w:contextualSpacing/>
        <w:jc w:val="both"/>
        <w:rPr>
          <w:sz w:val="28"/>
        </w:rPr>
      </w:pPr>
      <w:r w:rsidRPr="00B93F41">
        <w:rPr>
          <w:sz w:val="28"/>
        </w:rPr>
        <w:tab/>
        <w:t>У 5 із 9 країн органи, яким делеговано визначення розміру адміністративних зборів, мають керуватись закріпленою методикою розрахунку розміру</w:t>
      </w:r>
      <w:r w:rsidR="00385FFE" w:rsidRPr="00B93F41">
        <w:rPr>
          <w:sz w:val="28"/>
        </w:rPr>
        <w:t xml:space="preserve"> </w:t>
      </w:r>
      <w:r w:rsidRPr="00B93F41">
        <w:rPr>
          <w:sz w:val="28"/>
        </w:rPr>
        <w:t>адміністративного збору</w:t>
      </w:r>
      <w:r w:rsidR="00385FFE" w:rsidRPr="00B93F41">
        <w:rPr>
          <w:sz w:val="28"/>
        </w:rPr>
        <w:t xml:space="preserve"> </w:t>
      </w:r>
      <w:r w:rsidRPr="00B93F41">
        <w:rPr>
          <w:sz w:val="28"/>
        </w:rPr>
        <w:t>(Австралія, Велика Британія, США,</w:t>
      </w:r>
      <w:r w:rsidR="00385FFE" w:rsidRPr="00B93F41">
        <w:rPr>
          <w:sz w:val="28"/>
        </w:rPr>
        <w:t xml:space="preserve"> </w:t>
      </w:r>
      <w:r w:rsidRPr="00B93F41">
        <w:rPr>
          <w:sz w:val="28"/>
        </w:rPr>
        <w:t>Канада, Нова Зеландія)</w:t>
      </w:r>
      <w:r w:rsidR="00385FFE" w:rsidRPr="00B93F41">
        <w:rPr>
          <w:sz w:val="28"/>
        </w:rPr>
        <w:t>.</w:t>
      </w:r>
    </w:p>
    <w:p w14:paraId="48D2704B" w14:textId="73289DD4" w:rsidR="009B525A" w:rsidRPr="00B93F41" w:rsidRDefault="00385FFE" w:rsidP="00953DE1">
      <w:pPr>
        <w:ind w:right="-31" w:firstLine="720"/>
        <w:contextualSpacing/>
        <w:jc w:val="both"/>
        <w:rPr>
          <w:sz w:val="28"/>
        </w:rPr>
      </w:pPr>
      <w:r w:rsidRPr="00B93F41">
        <w:rPr>
          <w:sz w:val="28"/>
        </w:rPr>
        <w:t>Загальні принципи визначення розміру адміністративного збору, які застосовуються у більшості країн: плата за послугу має покриває собівартість послуги, але якщо послуга є суспільно важливою, плата може бути зменшена/відсутня; послуги, які мають економічне значення для отримувача можуть оплачуватись у розмірі більше їх собівартості; рішення про розмір збору приймається із обов’язковим громадським обговоренням під час його встановлення.</w:t>
      </w:r>
    </w:p>
    <w:p w14:paraId="783BC6B9" w14:textId="4C10A2CD" w:rsidR="0049264D" w:rsidRPr="00B93F41" w:rsidRDefault="0049264D" w:rsidP="00953DE1">
      <w:pPr>
        <w:ind w:right="-31" w:firstLine="720"/>
        <w:contextualSpacing/>
        <w:jc w:val="both"/>
        <w:rPr>
          <w:sz w:val="28"/>
        </w:rPr>
      </w:pPr>
      <w:r w:rsidRPr="00B93F41">
        <w:rPr>
          <w:sz w:val="28"/>
        </w:rPr>
        <w:t>Найуспішніші принципи та практики зарубіжних країн</w:t>
      </w:r>
      <w:r w:rsidR="00215B3A" w:rsidRPr="00B93F41">
        <w:rPr>
          <w:sz w:val="28"/>
        </w:rPr>
        <w:t xml:space="preserve"> можуть бути </w:t>
      </w:r>
      <w:proofErr w:type="spellStart"/>
      <w:r w:rsidR="004540D5" w:rsidRPr="00B93F41">
        <w:rPr>
          <w:sz w:val="28"/>
        </w:rPr>
        <w:t>імплементовані</w:t>
      </w:r>
      <w:proofErr w:type="spellEnd"/>
      <w:r w:rsidR="004540D5" w:rsidRPr="00B93F41">
        <w:rPr>
          <w:sz w:val="28"/>
        </w:rPr>
        <w:t xml:space="preserve"> та застосовані в Україні.</w:t>
      </w:r>
    </w:p>
    <w:p w14:paraId="3CA7BD1B" w14:textId="00FFF2DD" w:rsidR="006156D1" w:rsidRPr="00B93F41" w:rsidRDefault="006156D1" w:rsidP="00953DE1">
      <w:pPr>
        <w:ind w:right="-31"/>
        <w:contextualSpacing/>
        <w:jc w:val="both"/>
        <w:rPr>
          <w:sz w:val="28"/>
          <w:szCs w:val="28"/>
        </w:rPr>
      </w:pPr>
      <w:r w:rsidRPr="00B93F41">
        <w:rPr>
          <w:sz w:val="28"/>
          <w:szCs w:val="28"/>
        </w:rPr>
        <w:tab/>
      </w:r>
      <w:r w:rsidR="00F20D0D" w:rsidRPr="00B93F41">
        <w:rPr>
          <w:sz w:val="28"/>
          <w:szCs w:val="28"/>
        </w:rPr>
        <w:t xml:space="preserve">Наразі є чинною Методика визначення собівартості платних адміністративних послуг, </w:t>
      </w:r>
      <w:r w:rsidR="00F20D0D" w:rsidRPr="00B93F41">
        <w:rPr>
          <w:rFonts w:eastAsiaTheme="minorEastAsia"/>
          <w:sz w:val="28"/>
          <w:szCs w:val="28"/>
        </w:rPr>
        <w:t xml:space="preserve">затверджена постановою Кабінету Міністрів України від 27 січня 2010 р. № 66, водночас вона </w:t>
      </w:r>
      <w:r w:rsidR="00F20D0D" w:rsidRPr="00B93F41">
        <w:rPr>
          <w:sz w:val="28"/>
          <w:szCs w:val="28"/>
        </w:rPr>
        <w:t xml:space="preserve">не враховує усіх </w:t>
      </w:r>
      <w:r w:rsidR="00F43C28" w:rsidRPr="00B93F41">
        <w:rPr>
          <w:sz w:val="28"/>
          <w:szCs w:val="28"/>
        </w:rPr>
        <w:t>аспектів</w:t>
      </w:r>
      <w:r w:rsidR="00F20D0D" w:rsidRPr="00B93F41">
        <w:rPr>
          <w:sz w:val="28"/>
          <w:szCs w:val="28"/>
        </w:rPr>
        <w:t xml:space="preserve"> надання адміністративних послуг, не врегульовує питання збору даних для здійснення розрахунків, </w:t>
      </w:r>
      <w:r w:rsidR="00C8430A" w:rsidRPr="00B93F41">
        <w:rPr>
          <w:sz w:val="28"/>
          <w:szCs w:val="28"/>
        </w:rPr>
        <w:t xml:space="preserve">а </w:t>
      </w:r>
      <w:r w:rsidR="00F20D0D" w:rsidRPr="00B93F41">
        <w:rPr>
          <w:sz w:val="28"/>
          <w:szCs w:val="28"/>
        </w:rPr>
        <w:t>тому потребує актуалізації.</w:t>
      </w:r>
    </w:p>
    <w:p w14:paraId="63DF9422" w14:textId="1BAF4CA8" w:rsidR="00F43C28" w:rsidRPr="00B93F41" w:rsidRDefault="00F43C28" w:rsidP="00953DE1">
      <w:pPr>
        <w:ind w:right="-31"/>
        <w:contextualSpacing/>
        <w:jc w:val="both"/>
        <w:rPr>
          <w:sz w:val="28"/>
          <w:szCs w:val="28"/>
        </w:rPr>
      </w:pPr>
      <w:r w:rsidRPr="00B93F41">
        <w:rPr>
          <w:sz w:val="28"/>
          <w:szCs w:val="28"/>
        </w:rPr>
        <w:tab/>
        <w:t xml:space="preserve">Також, </w:t>
      </w:r>
      <w:r w:rsidR="00C8430A" w:rsidRPr="00B93F41">
        <w:rPr>
          <w:sz w:val="28"/>
          <w:szCs w:val="28"/>
        </w:rPr>
        <w:t xml:space="preserve">з метою забезпечення прозорості встановлення адміністративних зборів пропонується </w:t>
      </w:r>
      <w:proofErr w:type="spellStart"/>
      <w:r w:rsidRPr="00B93F41">
        <w:rPr>
          <w:sz w:val="28"/>
          <w:szCs w:val="28"/>
        </w:rPr>
        <w:t>внести</w:t>
      </w:r>
      <w:proofErr w:type="spellEnd"/>
      <w:r w:rsidRPr="00B93F41">
        <w:rPr>
          <w:sz w:val="28"/>
          <w:szCs w:val="28"/>
        </w:rPr>
        <w:t xml:space="preserve"> зміни до законодавства щодо обов’язкового оприлюднення</w:t>
      </w:r>
      <w:r w:rsidRPr="00B93F41">
        <w:rPr>
          <w:rFonts w:eastAsiaTheme="minorEastAsia"/>
          <w:sz w:val="28"/>
          <w:szCs w:val="28"/>
        </w:rPr>
        <w:t xml:space="preserve"> та надання заінтересованим органам обґрунтувань платності або безоплатності адміністративних послуг та розмірів плати за надання адміністративних послуг</w:t>
      </w:r>
      <w:r w:rsidRPr="00B93F41">
        <w:rPr>
          <w:sz w:val="28"/>
          <w:szCs w:val="28"/>
        </w:rPr>
        <w:t xml:space="preserve"> </w:t>
      </w:r>
      <w:r w:rsidR="002304F7" w:rsidRPr="00B93F41">
        <w:rPr>
          <w:rFonts w:eastAsiaTheme="minorEastAsia"/>
          <w:sz w:val="28"/>
          <w:szCs w:val="28"/>
        </w:rPr>
        <w:t xml:space="preserve">під час погодження </w:t>
      </w:r>
      <w:r w:rsidRPr="00B93F41">
        <w:rPr>
          <w:sz w:val="28"/>
          <w:szCs w:val="28"/>
        </w:rPr>
        <w:t>проектів нормативно-правових актів, якими</w:t>
      </w:r>
      <w:r w:rsidRPr="00B93F41">
        <w:rPr>
          <w:rFonts w:eastAsiaTheme="minorEastAsia"/>
          <w:sz w:val="28"/>
          <w:szCs w:val="28"/>
        </w:rPr>
        <w:t xml:space="preserve"> встановлюються нові адміністративні послуги або адміністративні збори.</w:t>
      </w:r>
    </w:p>
    <w:p w14:paraId="56491C3A" w14:textId="77777777" w:rsidR="00CD5AA5" w:rsidRPr="00B93F41" w:rsidRDefault="00454CF8" w:rsidP="00953DE1">
      <w:pPr>
        <w:pStyle w:val="3"/>
        <w:ind w:left="-91" w:right="-31" w:firstLine="709"/>
        <w:contextualSpacing/>
        <w:jc w:val="both"/>
      </w:pPr>
      <w:r w:rsidRPr="00B93F41">
        <w:lastRenderedPageBreak/>
        <w:t xml:space="preserve">3. Основні положення проекту </w:t>
      </w:r>
      <w:proofErr w:type="spellStart"/>
      <w:r w:rsidRPr="00B93F41">
        <w:t>акта</w:t>
      </w:r>
      <w:proofErr w:type="spellEnd"/>
    </w:p>
    <w:p w14:paraId="61E4FCE5" w14:textId="35A91F95" w:rsidR="0092029F" w:rsidRPr="00B93F41" w:rsidRDefault="0092029F" w:rsidP="00953DE1">
      <w:pPr>
        <w:pStyle w:val="3"/>
        <w:ind w:left="-91" w:right="-31" w:firstLine="709"/>
        <w:contextualSpacing/>
        <w:jc w:val="both"/>
        <w:rPr>
          <w:b w:val="0"/>
          <w:bCs/>
        </w:rPr>
      </w:pPr>
      <w:r w:rsidRPr="00B93F41">
        <w:rPr>
          <w:b w:val="0"/>
          <w:bCs/>
        </w:rPr>
        <w:t xml:space="preserve">Проектом </w:t>
      </w:r>
      <w:proofErr w:type="spellStart"/>
      <w:r w:rsidRPr="00B93F41">
        <w:rPr>
          <w:b w:val="0"/>
          <w:bCs/>
        </w:rPr>
        <w:t>акта</w:t>
      </w:r>
      <w:proofErr w:type="spellEnd"/>
      <w:r w:rsidRPr="00B93F41">
        <w:rPr>
          <w:b w:val="0"/>
          <w:bCs/>
        </w:rPr>
        <w:t xml:space="preserve"> передбачено </w:t>
      </w:r>
      <w:r w:rsidR="0027675D" w:rsidRPr="00B93F41">
        <w:rPr>
          <w:b w:val="0"/>
          <w:bCs/>
        </w:rPr>
        <w:t>внесення змін до:</w:t>
      </w:r>
    </w:p>
    <w:p w14:paraId="342D6F52" w14:textId="7C875AC4" w:rsidR="0027675D" w:rsidRPr="00B93F41" w:rsidRDefault="0027675D" w:rsidP="00953DE1">
      <w:pPr>
        <w:pStyle w:val="a5"/>
        <w:numPr>
          <w:ilvl w:val="0"/>
          <w:numId w:val="4"/>
        </w:numPr>
        <w:tabs>
          <w:tab w:val="left" w:pos="993"/>
        </w:tabs>
        <w:ind w:left="0" w:right="-31" w:firstLine="709"/>
        <w:jc w:val="both"/>
        <w:rPr>
          <w:rFonts w:eastAsiaTheme="minorEastAsia"/>
          <w:sz w:val="28"/>
          <w:szCs w:val="28"/>
        </w:rPr>
      </w:pPr>
      <w:r w:rsidRPr="00B93F41">
        <w:rPr>
          <w:rFonts w:eastAsiaTheme="minorEastAsia"/>
          <w:sz w:val="28"/>
          <w:szCs w:val="28"/>
        </w:rPr>
        <w:t>Регламенту Кабінету Міністрів України, затвердженого постановою Кабінету Міністрів України від 18 липня 2007 р. № 950, щодо обґрунтування платності або безоплатності адміністративних послуг та розмірів плати за надання адміністративних послуг відповідно до Методики визначення платності або безоплатності адміністративних послуг та розрахунку розмірів плати за їх надання (адміністративного збору), затвердженої постановою Кабінету Міністрів України від 27 січня 2010 р. № 66</w:t>
      </w:r>
      <w:r w:rsidR="00F20D0D" w:rsidRPr="00B93F41">
        <w:rPr>
          <w:rFonts w:eastAsiaTheme="minorEastAsia"/>
          <w:sz w:val="28"/>
          <w:szCs w:val="28"/>
        </w:rPr>
        <w:t>,</w:t>
      </w:r>
      <w:r w:rsidRPr="00B93F41">
        <w:rPr>
          <w:rFonts w:eastAsiaTheme="minorEastAsia"/>
          <w:sz w:val="28"/>
          <w:szCs w:val="28"/>
        </w:rPr>
        <w:t xml:space="preserve"> та </w:t>
      </w:r>
      <w:r w:rsidR="00C46D7C" w:rsidRPr="00B93F41">
        <w:rPr>
          <w:rFonts w:eastAsiaTheme="minorEastAsia"/>
          <w:sz w:val="28"/>
          <w:szCs w:val="28"/>
        </w:rPr>
        <w:t>по</w:t>
      </w:r>
      <w:r w:rsidR="005F6321" w:rsidRPr="00B93F41">
        <w:rPr>
          <w:rFonts w:eastAsiaTheme="minorEastAsia"/>
          <w:sz w:val="28"/>
          <w:szCs w:val="28"/>
        </w:rPr>
        <w:t>дання</w:t>
      </w:r>
      <w:r w:rsidR="00B33512" w:rsidRPr="00B93F41">
        <w:rPr>
          <w:rFonts w:eastAsiaTheme="minorEastAsia"/>
          <w:sz w:val="28"/>
          <w:szCs w:val="28"/>
        </w:rPr>
        <w:t xml:space="preserve"> на розгляд </w:t>
      </w:r>
      <w:proofErr w:type="spellStart"/>
      <w:r w:rsidR="00B33512" w:rsidRPr="00B93F41">
        <w:rPr>
          <w:rFonts w:eastAsiaTheme="minorEastAsia"/>
          <w:sz w:val="28"/>
          <w:szCs w:val="28"/>
        </w:rPr>
        <w:t>Мінцифри</w:t>
      </w:r>
      <w:proofErr w:type="spellEnd"/>
      <w:r w:rsidR="005F6321" w:rsidRPr="00B93F41">
        <w:rPr>
          <w:rFonts w:eastAsiaTheme="minorEastAsia"/>
          <w:sz w:val="28"/>
          <w:szCs w:val="28"/>
        </w:rPr>
        <w:t xml:space="preserve"> відповідного об</w:t>
      </w:r>
      <w:bookmarkStart w:id="3" w:name="_Hlk71048481"/>
      <w:r w:rsidR="005F6321" w:rsidRPr="00B93F41">
        <w:rPr>
          <w:rFonts w:eastAsiaTheme="minorEastAsia"/>
          <w:sz w:val="28"/>
          <w:szCs w:val="28"/>
        </w:rPr>
        <w:t>ґ</w:t>
      </w:r>
      <w:bookmarkEnd w:id="3"/>
      <w:r w:rsidR="005F6321" w:rsidRPr="00B93F41">
        <w:rPr>
          <w:rFonts w:eastAsiaTheme="minorEastAsia"/>
          <w:sz w:val="28"/>
          <w:szCs w:val="28"/>
        </w:rPr>
        <w:t xml:space="preserve">рунтування у додатках до проектів нормативно-правових актів, якими </w:t>
      </w:r>
      <w:r w:rsidR="00C46D7C" w:rsidRPr="00B93F41">
        <w:rPr>
          <w:rFonts w:eastAsiaTheme="minorEastAsia"/>
          <w:sz w:val="28"/>
          <w:szCs w:val="28"/>
        </w:rPr>
        <w:t>врегульовуються</w:t>
      </w:r>
      <w:r w:rsidR="005F6321" w:rsidRPr="00B93F41">
        <w:rPr>
          <w:rFonts w:eastAsiaTheme="minorEastAsia"/>
          <w:sz w:val="28"/>
          <w:szCs w:val="28"/>
        </w:rPr>
        <w:t xml:space="preserve"> адміністративні послуги або адміністративні збори;</w:t>
      </w:r>
    </w:p>
    <w:p w14:paraId="63BA01C9" w14:textId="3E9115BC" w:rsidR="005F6321" w:rsidRPr="00B93F41" w:rsidRDefault="00925B53" w:rsidP="00953DE1">
      <w:pPr>
        <w:pStyle w:val="a5"/>
        <w:numPr>
          <w:ilvl w:val="0"/>
          <w:numId w:val="4"/>
        </w:numPr>
        <w:tabs>
          <w:tab w:val="left" w:pos="993"/>
        </w:tabs>
        <w:ind w:left="0" w:right="-31" w:firstLine="709"/>
        <w:jc w:val="both"/>
        <w:rPr>
          <w:rFonts w:eastAsiaTheme="minorEastAsia"/>
          <w:sz w:val="28"/>
          <w:szCs w:val="28"/>
        </w:rPr>
      </w:pPr>
      <w:r w:rsidRPr="00B93F41">
        <w:rPr>
          <w:rFonts w:eastAsiaTheme="minorEastAsia"/>
          <w:sz w:val="28"/>
          <w:szCs w:val="28"/>
        </w:rPr>
        <w:t>постанови Кабінету Міністрів України від 27 січня 2010 р. № 66 “Про затвердження Методики визначення собівартості платних адміністративних послуг” щодо:</w:t>
      </w:r>
    </w:p>
    <w:p w14:paraId="5EFBB0E0" w14:textId="787D5B63" w:rsidR="00925B53" w:rsidRPr="00B93F41" w:rsidRDefault="00925B53" w:rsidP="00953DE1">
      <w:pPr>
        <w:pStyle w:val="a5"/>
        <w:tabs>
          <w:tab w:val="left" w:pos="851"/>
          <w:tab w:val="left" w:pos="1276"/>
          <w:tab w:val="left" w:pos="1418"/>
        </w:tabs>
        <w:ind w:left="0" w:right="-31" w:firstLine="709"/>
        <w:jc w:val="both"/>
        <w:rPr>
          <w:rFonts w:eastAsiaTheme="minorEastAsia"/>
          <w:sz w:val="28"/>
          <w:szCs w:val="28"/>
        </w:rPr>
      </w:pPr>
      <w:r w:rsidRPr="00B93F41">
        <w:rPr>
          <w:rFonts w:eastAsiaTheme="minorEastAsia"/>
          <w:sz w:val="28"/>
          <w:szCs w:val="28"/>
        </w:rPr>
        <w:t>а) оновлення Методики визначення собівартості платних адміністративних послуг</w:t>
      </w:r>
      <w:r w:rsidR="00496D7B" w:rsidRPr="00B93F41">
        <w:rPr>
          <w:rFonts w:eastAsiaTheme="minorEastAsia"/>
          <w:sz w:val="28"/>
          <w:szCs w:val="28"/>
        </w:rPr>
        <w:t xml:space="preserve">, змінивши її назву на </w:t>
      </w:r>
      <w:r w:rsidR="00B33512" w:rsidRPr="00B93F41">
        <w:rPr>
          <w:rFonts w:eastAsiaTheme="minorEastAsia"/>
          <w:sz w:val="28"/>
          <w:szCs w:val="28"/>
        </w:rPr>
        <w:t>“</w:t>
      </w:r>
      <w:r w:rsidR="00496D7B" w:rsidRPr="00B93F41">
        <w:rPr>
          <w:rFonts w:eastAsiaTheme="minorEastAsia"/>
          <w:sz w:val="28"/>
          <w:szCs w:val="28"/>
        </w:rPr>
        <w:t xml:space="preserve">Методика </w:t>
      </w:r>
      <w:bookmarkStart w:id="4" w:name="_Hlk77230518"/>
      <w:r w:rsidR="00496D7B" w:rsidRPr="00B93F41">
        <w:rPr>
          <w:rFonts w:eastAsiaTheme="minorEastAsia"/>
          <w:sz w:val="28"/>
          <w:szCs w:val="28"/>
        </w:rPr>
        <w:t>визначення платності або безоплатності адміністративних послуг та розрахунку розмірів плати за їх надання (адміністративного збору)</w:t>
      </w:r>
      <w:bookmarkEnd w:id="4"/>
      <w:r w:rsidR="00B33512" w:rsidRPr="00B93F41">
        <w:rPr>
          <w:rFonts w:eastAsiaTheme="minorEastAsia"/>
          <w:sz w:val="28"/>
          <w:szCs w:val="28"/>
        </w:rPr>
        <w:t>”</w:t>
      </w:r>
      <w:r w:rsidR="00B53D64" w:rsidRPr="00B93F41">
        <w:rPr>
          <w:rFonts w:eastAsiaTheme="minorEastAsia"/>
          <w:sz w:val="28"/>
          <w:szCs w:val="28"/>
        </w:rPr>
        <w:t xml:space="preserve"> (далі – Методика)</w:t>
      </w:r>
      <w:r w:rsidR="00496D7B" w:rsidRPr="00B93F41">
        <w:rPr>
          <w:rFonts w:eastAsiaTheme="minorEastAsia"/>
          <w:sz w:val="28"/>
          <w:szCs w:val="28"/>
        </w:rPr>
        <w:t xml:space="preserve"> та виклавши її в новій редакції;</w:t>
      </w:r>
    </w:p>
    <w:p w14:paraId="56922F3F" w14:textId="30ECB30F" w:rsidR="00496D7B" w:rsidRPr="00B93F41" w:rsidRDefault="00905DC5" w:rsidP="00953DE1">
      <w:pPr>
        <w:pStyle w:val="a5"/>
        <w:ind w:left="0" w:right="-31" w:firstLine="618"/>
        <w:jc w:val="both"/>
        <w:rPr>
          <w:rFonts w:eastAsiaTheme="minorEastAsia"/>
          <w:sz w:val="28"/>
          <w:szCs w:val="28"/>
        </w:rPr>
      </w:pPr>
      <w:r w:rsidRPr="00B93F41">
        <w:rPr>
          <w:rFonts w:eastAsiaTheme="minorEastAsia"/>
          <w:sz w:val="28"/>
          <w:szCs w:val="28"/>
        </w:rPr>
        <w:t>б) застосування Міністерствам</w:t>
      </w:r>
      <w:r w:rsidR="009B7D37" w:rsidRPr="00B93F41">
        <w:rPr>
          <w:rFonts w:eastAsiaTheme="minorEastAsia"/>
          <w:sz w:val="28"/>
          <w:szCs w:val="28"/>
        </w:rPr>
        <w:t>и</w:t>
      </w:r>
      <w:r w:rsidRPr="00B93F41">
        <w:rPr>
          <w:rFonts w:eastAsiaTheme="minorEastAsia"/>
          <w:sz w:val="28"/>
          <w:szCs w:val="28"/>
        </w:rPr>
        <w:t>, іншим</w:t>
      </w:r>
      <w:r w:rsidR="009B7D37" w:rsidRPr="00B93F41">
        <w:rPr>
          <w:rFonts w:eastAsiaTheme="minorEastAsia"/>
          <w:sz w:val="28"/>
          <w:szCs w:val="28"/>
        </w:rPr>
        <w:t>и</w:t>
      </w:r>
      <w:r w:rsidRPr="00B93F41">
        <w:rPr>
          <w:rFonts w:eastAsiaTheme="minorEastAsia"/>
          <w:sz w:val="28"/>
          <w:szCs w:val="28"/>
        </w:rPr>
        <w:t xml:space="preserve"> центральним</w:t>
      </w:r>
      <w:r w:rsidR="009B7D37" w:rsidRPr="00B93F41">
        <w:rPr>
          <w:rFonts w:eastAsiaTheme="minorEastAsia"/>
          <w:sz w:val="28"/>
          <w:szCs w:val="28"/>
        </w:rPr>
        <w:t>и</w:t>
      </w:r>
      <w:r w:rsidRPr="00B93F41">
        <w:rPr>
          <w:rFonts w:eastAsiaTheme="minorEastAsia"/>
          <w:sz w:val="28"/>
          <w:szCs w:val="28"/>
        </w:rPr>
        <w:t xml:space="preserve"> органам</w:t>
      </w:r>
      <w:r w:rsidR="009B7D37" w:rsidRPr="00B93F41">
        <w:rPr>
          <w:rFonts w:eastAsiaTheme="minorEastAsia"/>
          <w:sz w:val="28"/>
          <w:szCs w:val="28"/>
        </w:rPr>
        <w:t>и</w:t>
      </w:r>
      <w:r w:rsidRPr="00B93F41">
        <w:rPr>
          <w:rFonts w:eastAsiaTheme="minorEastAsia"/>
          <w:sz w:val="28"/>
          <w:szCs w:val="28"/>
        </w:rPr>
        <w:t xml:space="preserve"> виконавчої влади </w:t>
      </w:r>
      <w:r w:rsidR="00B33512" w:rsidRPr="00B93F41">
        <w:rPr>
          <w:rFonts w:eastAsiaTheme="minorEastAsia"/>
          <w:sz w:val="28"/>
          <w:szCs w:val="28"/>
        </w:rPr>
        <w:t xml:space="preserve">цієї </w:t>
      </w:r>
      <w:r w:rsidRPr="00B93F41">
        <w:rPr>
          <w:rFonts w:eastAsiaTheme="minorEastAsia"/>
          <w:sz w:val="28"/>
          <w:szCs w:val="28"/>
        </w:rPr>
        <w:t>Методики під час розроблення проектів нормативно-правових актів, якими встановлюється платність або безоплатність адміністративних послуг, встановлюються чи змінюються розміри плати за їх надання;</w:t>
      </w:r>
    </w:p>
    <w:p w14:paraId="3B1CDDF9" w14:textId="4FB4EBA8" w:rsidR="00905DC5" w:rsidRPr="00B93F41" w:rsidRDefault="00905DC5" w:rsidP="00953DE1">
      <w:pPr>
        <w:pStyle w:val="a5"/>
        <w:ind w:left="0" w:right="-31" w:firstLine="618"/>
        <w:jc w:val="both"/>
        <w:rPr>
          <w:rFonts w:eastAsiaTheme="minorEastAsia"/>
          <w:sz w:val="28"/>
          <w:szCs w:val="28"/>
        </w:rPr>
      </w:pPr>
      <w:r w:rsidRPr="00B93F41">
        <w:rPr>
          <w:rFonts w:eastAsiaTheme="minorEastAsia"/>
          <w:sz w:val="28"/>
          <w:szCs w:val="28"/>
        </w:rPr>
        <w:t>в) запровадження критеріїв, на підставі яких встановлюватиметься платність або безоплатність адміністративних послуг;</w:t>
      </w:r>
    </w:p>
    <w:p w14:paraId="36351EA0" w14:textId="1F450EC1" w:rsidR="00905DC5" w:rsidRPr="00B93F41" w:rsidRDefault="00905DC5" w:rsidP="00953DE1">
      <w:pPr>
        <w:pStyle w:val="a5"/>
        <w:ind w:left="0" w:right="-31" w:firstLine="618"/>
        <w:jc w:val="both"/>
        <w:rPr>
          <w:rFonts w:eastAsiaTheme="minorEastAsia"/>
          <w:sz w:val="28"/>
          <w:szCs w:val="28"/>
        </w:rPr>
      </w:pPr>
      <w:r w:rsidRPr="00B93F41">
        <w:rPr>
          <w:rFonts w:eastAsiaTheme="minorEastAsia"/>
          <w:sz w:val="28"/>
          <w:szCs w:val="28"/>
        </w:rPr>
        <w:t xml:space="preserve">г) </w:t>
      </w:r>
      <w:r w:rsidR="008B1102" w:rsidRPr="00B93F41">
        <w:rPr>
          <w:rFonts w:eastAsiaTheme="minorEastAsia"/>
          <w:sz w:val="28"/>
          <w:szCs w:val="28"/>
        </w:rPr>
        <w:t>розрахун</w:t>
      </w:r>
      <w:r w:rsidR="003D1713" w:rsidRPr="00B93F41">
        <w:rPr>
          <w:rFonts w:eastAsiaTheme="minorEastAsia"/>
          <w:sz w:val="28"/>
          <w:szCs w:val="28"/>
        </w:rPr>
        <w:t>ку</w:t>
      </w:r>
      <w:r w:rsidR="008B1102" w:rsidRPr="00B93F41">
        <w:rPr>
          <w:rFonts w:eastAsiaTheme="minorEastAsia"/>
          <w:sz w:val="28"/>
          <w:szCs w:val="28"/>
        </w:rPr>
        <w:t xml:space="preserve"> розміру адміністративного збору на основі собівартості адміністративної послуги з урахуванням коригувальних коефіцієнтів </w:t>
      </w:r>
      <w:r w:rsidR="009B7D37" w:rsidRPr="00B93F41">
        <w:rPr>
          <w:rFonts w:eastAsiaTheme="minorEastAsia"/>
          <w:sz w:val="28"/>
          <w:szCs w:val="28"/>
        </w:rPr>
        <w:br/>
      </w:r>
      <w:r w:rsidR="008B1102" w:rsidRPr="00B93F41">
        <w:rPr>
          <w:rFonts w:eastAsiaTheme="minorEastAsia"/>
          <w:sz w:val="28"/>
          <w:szCs w:val="28"/>
        </w:rPr>
        <w:t>(в залежності від типу послуги щодо дозвільних та ресурсних послуг застосовуються підвищувальні коефіцієнти від 0,</w:t>
      </w:r>
      <w:r w:rsidR="00B53D64" w:rsidRPr="00B93F41">
        <w:rPr>
          <w:rFonts w:eastAsiaTheme="minorEastAsia"/>
          <w:sz w:val="28"/>
          <w:szCs w:val="28"/>
        </w:rPr>
        <w:t>3</w:t>
      </w:r>
      <w:r w:rsidR="008B1102" w:rsidRPr="00B93F41">
        <w:rPr>
          <w:rFonts w:eastAsiaTheme="minorEastAsia"/>
          <w:sz w:val="28"/>
          <w:szCs w:val="28"/>
        </w:rPr>
        <w:t xml:space="preserve"> до 0,</w:t>
      </w:r>
      <w:r w:rsidR="00CF36FC" w:rsidRPr="00B93F41">
        <w:rPr>
          <w:rFonts w:eastAsiaTheme="minorEastAsia"/>
          <w:sz w:val="28"/>
          <w:szCs w:val="28"/>
        </w:rPr>
        <w:t>75</w:t>
      </w:r>
      <w:r w:rsidR="008B1102" w:rsidRPr="00B93F41">
        <w:rPr>
          <w:rFonts w:eastAsiaTheme="minorEastAsia"/>
          <w:sz w:val="28"/>
          <w:szCs w:val="28"/>
        </w:rPr>
        <w:t xml:space="preserve"> собівартості відповідних послуг</w:t>
      </w:r>
      <w:r w:rsidR="00727794" w:rsidRPr="00B93F41">
        <w:rPr>
          <w:rFonts w:eastAsiaTheme="minorEastAsia"/>
          <w:sz w:val="28"/>
          <w:szCs w:val="28"/>
        </w:rPr>
        <w:t xml:space="preserve">, </w:t>
      </w:r>
      <w:r w:rsidR="005953F1" w:rsidRPr="00B93F41">
        <w:rPr>
          <w:rFonts w:eastAsiaTheme="minorEastAsia"/>
          <w:sz w:val="28"/>
          <w:szCs w:val="28"/>
        </w:rPr>
        <w:t>а також</w:t>
      </w:r>
      <w:r w:rsidR="003D1713" w:rsidRPr="00B93F41">
        <w:rPr>
          <w:rFonts w:eastAsiaTheme="minorEastAsia"/>
          <w:sz w:val="28"/>
          <w:szCs w:val="28"/>
        </w:rPr>
        <w:t>, у разі</w:t>
      </w:r>
      <w:r w:rsidR="005953F1" w:rsidRPr="00B93F41">
        <w:rPr>
          <w:rFonts w:eastAsiaTheme="minorEastAsia"/>
          <w:sz w:val="28"/>
          <w:szCs w:val="28"/>
        </w:rPr>
        <w:t xml:space="preserve"> ризиків завдання збитків чи шкоди, пов’язаних </w:t>
      </w:r>
      <w:r w:rsidR="003D1713" w:rsidRPr="00B93F41">
        <w:rPr>
          <w:rFonts w:eastAsiaTheme="minorEastAsia"/>
          <w:sz w:val="28"/>
          <w:szCs w:val="28"/>
        </w:rPr>
        <w:t>із</w:t>
      </w:r>
      <w:r w:rsidR="005953F1" w:rsidRPr="00B93F41">
        <w:rPr>
          <w:rFonts w:eastAsiaTheme="minorEastAsia"/>
          <w:sz w:val="28"/>
          <w:szCs w:val="28"/>
        </w:rPr>
        <w:t xml:space="preserve"> надання</w:t>
      </w:r>
      <w:r w:rsidR="003D1713" w:rsidRPr="00B93F41">
        <w:rPr>
          <w:rFonts w:eastAsiaTheme="minorEastAsia"/>
          <w:sz w:val="28"/>
          <w:szCs w:val="28"/>
        </w:rPr>
        <w:t>м</w:t>
      </w:r>
      <w:r w:rsidR="005953F1" w:rsidRPr="00B93F41">
        <w:rPr>
          <w:rFonts w:eastAsiaTheme="minorEastAsia"/>
          <w:sz w:val="28"/>
          <w:szCs w:val="28"/>
        </w:rPr>
        <w:t xml:space="preserve"> адміністративної послуги</w:t>
      </w:r>
      <w:r w:rsidR="003D1713" w:rsidRPr="00B93F41">
        <w:rPr>
          <w:rFonts w:eastAsiaTheme="minorEastAsia"/>
          <w:sz w:val="28"/>
          <w:szCs w:val="28"/>
        </w:rPr>
        <w:t>);</w:t>
      </w:r>
    </w:p>
    <w:p w14:paraId="48539345" w14:textId="1B547EA0" w:rsidR="00A118CD" w:rsidRPr="00B93F41" w:rsidRDefault="00A118CD" w:rsidP="00953DE1">
      <w:pPr>
        <w:pStyle w:val="a5"/>
        <w:ind w:left="0" w:right="-31" w:firstLine="618"/>
        <w:jc w:val="both"/>
        <w:rPr>
          <w:rFonts w:eastAsiaTheme="minorEastAsia"/>
          <w:sz w:val="28"/>
          <w:szCs w:val="28"/>
        </w:rPr>
      </w:pPr>
      <w:r w:rsidRPr="00B93F41">
        <w:rPr>
          <w:rFonts w:eastAsiaTheme="minorEastAsia"/>
          <w:sz w:val="28"/>
          <w:szCs w:val="28"/>
        </w:rPr>
        <w:t>3)</w:t>
      </w:r>
      <w:r w:rsidRPr="00B93F41">
        <w:t xml:space="preserve"> </w:t>
      </w:r>
      <w:r w:rsidRPr="00B93F41">
        <w:rPr>
          <w:rFonts w:eastAsiaTheme="minorEastAsia"/>
          <w:sz w:val="28"/>
          <w:szCs w:val="28"/>
        </w:rPr>
        <w:t>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3 листопада 2010 р. № 996 “Про забезпечення участі громадськості у формуванні та реалізації державної політики”, щодо  обов’язкового оприлюднення обґрунтування платності або безоплатності адміністративних послуг і розмірів плати за їх надання (адміністративного збору) разом з текстами проектів нормативно-правових актів, які встановлюють платність або безоплатність адміністративних послуг та розміри плати за їх надання (адміністративного збору).</w:t>
      </w:r>
    </w:p>
    <w:p w14:paraId="4A10D90A" w14:textId="7DD58829" w:rsidR="00454CF8" w:rsidRPr="00B93F41" w:rsidRDefault="00454CF8" w:rsidP="00953DE1">
      <w:pPr>
        <w:pStyle w:val="3"/>
        <w:ind w:left="-91" w:right="-31" w:firstLine="709"/>
        <w:contextualSpacing/>
        <w:jc w:val="both"/>
      </w:pPr>
      <w:r w:rsidRPr="00B93F41">
        <w:lastRenderedPageBreak/>
        <w:t>4. Правові аспекти</w:t>
      </w:r>
    </w:p>
    <w:p w14:paraId="368805FE" w14:textId="6BFFBC40" w:rsidR="0092029F" w:rsidRPr="00B93F41" w:rsidRDefault="0092029F" w:rsidP="00953DE1">
      <w:pPr>
        <w:spacing w:after="160"/>
        <w:ind w:left="-91" w:right="-31" w:firstLine="709"/>
        <w:contextualSpacing/>
        <w:jc w:val="both"/>
        <w:rPr>
          <w:sz w:val="28"/>
          <w:szCs w:val="28"/>
          <w:lang w:eastAsia="ru-RU"/>
        </w:rPr>
      </w:pPr>
      <w:r w:rsidRPr="00B93F41">
        <w:rPr>
          <w:sz w:val="28"/>
          <w:szCs w:val="28"/>
          <w:lang w:eastAsia="ru-RU"/>
        </w:rPr>
        <w:t>У зазначеній сфері правового регулювання суспільних відносин діють такі акти законодавства:</w:t>
      </w:r>
    </w:p>
    <w:p w14:paraId="42356E76" w14:textId="1F3251C7" w:rsidR="00E15875" w:rsidRPr="00B93F41" w:rsidRDefault="00C966AA" w:rsidP="00953DE1">
      <w:pPr>
        <w:pBdr>
          <w:top w:val="nil"/>
          <w:left w:val="nil"/>
          <w:bottom w:val="nil"/>
          <w:right w:val="nil"/>
          <w:between w:val="nil"/>
        </w:pBdr>
        <w:tabs>
          <w:tab w:val="left" w:pos="1134"/>
        </w:tabs>
        <w:ind w:left="-91" w:right="-31" w:firstLine="709"/>
        <w:contextualSpacing/>
        <w:jc w:val="both"/>
        <w:rPr>
          <w:sz w:val="28"/>
          <w:szCs w:val="28"/>
        </w:rPr>
      </w:pPr>
      <w:r w:rsidRPr="00B93F41">
        <w:rPr>
          <w:sz w:val="28"/>
          <w:szCs w:val="28"/>
        </w:rPr>
        <w:t>з</w:t>
      </w:r>
      <w:r w:rsidR="0092029F" w:rsidRPr="00B93F41">
        <w:rPr>
          <w:sz w:val="28"/>
          <w:szCs w:val="28"/>
        </w:rPr>
        <w:t xml:space="preserve">акон України </w:t>
      </w:r>
      <w:r w:rsidRPr="00B93F41">
        <w:rPr>
          <w:sz w:val="28"/>
          <w:szCs w:val="28"/>
        </w:rPr>
        <w:t>“</w:t>
      </w:r>
      <w:r w:rsidR="0092029F" w:rsidRPr="00B93F41">
        <w:rPr>
          <w:sz w:val="28"/>
          <w:szCs w:val="28"/>
        </w:rPr>
        <w:t>Про адміністративні послуги</w:t>
      </w:r>
      <w:r w:rsidRPr="00B93F41">
        <w:rPr>
          <w:sz w:val="28"/>
          <w:szCs w:val="28"/>
        </w:rPr>
        <w:t>”</w:t>
      </w:r>
      <w:r w:rsidR="0092029F" w:rsidRPr="00B93F41">
        <w:rPr>
          <w:sz w:val="28"/>
          <w:szCs w:val="28"/>
        </w:rPr>
        <w:t>;</w:t>
      </w:r>
    </w:p>
    <w:p w14:paraId="2B5BC1B6" w14:textId="45237B6E" w:rsidR="00CD5AA5" w:rsidRPr="00B93F41" w:rsidRDefault="00C966AA" w:rsidP="00953DE1">
      <w:pPr>
        <w:pBdr>
          <w:top w:val="nil"/>
          <w:left w:val="nil"/>
          <w:bottom w:val="nil"/>
          <w:right w:val="nil"/>
          <w:between w:val="nil"/>
        </w:pBdr>
        <w:tabs>
          <w:tab w:val="left" w:pos="1134"/>
        </w:tabs>
        <w:ind w:left="-91" w:right="-31" w:firstLine="709"/>
        <w:contextualSpacing/>
        <w:jc w:val="both"/>
        <w:rPr>
          <w:sz w:val="28"/>
          <w:szCs w:val="28"/>
        </w:rPr>
      </w:pPr>
      <w:r w:rsidRPr="00B93F41">
        <w:rPr>
          <w:sz w:val="28"/>
          <w:szCs w:val="28"/>
        </w:rPr>
        <w:t>постанова Кабінету Міністрів України від 18 липня 2007 р. № 950 “Про затвердження Регламенту Кабінету Міністрів України”;</w:t>
      </w:r>
    </w:p>
    <w:p w14:paraId="410E495C" w14:textId="6877FE28" w:rsidR="00C966AA" w:rsidRPr="00B93F41" w:rsidRDefault="00C966AA" w:rsidP="00953DE1">
      <w:pPr>
        <w:pBdr>
          <w:top w:val="nil"/>
          <w:left w:val="nil"/>
          <w:bottom w:val="nil"/>
          <w:right w:val="nil"/>
          <w:between w:val="nil"/>
        </w:pBdr>
        <w:tabs>
          <w:tab w:val="left" w:pos="1134"/>
        </w:tabs>
        <w:ind w:left="-91" w:right="-31" w:firstLine="709"/>
        <w:contextualSpacing/>
        <w:jc w:val="both"/>
        <w:rPr>
          <w:sz w:val="28"/>
          <w:szCs w:val="28"/>
        </w:rPr>
      </w:pPr>
      <w:r w:rsidRPr="00B93F41">
        <w:rPr>
          <w:sz w:val="28"/>
          <w:szCs w:val="28"/>
        </w:rPr>
        <w:t>постанова Кабінету Міністрів України від 27 січня 2010 р. № 66 “Про затвердження Методики визначення собівартості платних адміністративних послуг”;</w:t>
      </w:r>
    </w:p>
    <w:p w14:paraId="5084678E" w14:textId="2ADACA45" w:rsidR="00C966AA" w:rsidRPr="00B93F41" w:rsidRDefault="00C966AA" w:rsidP="00953DE1">
      <w:pPr>
        <w:pBdr>
          <w:top w:val="nil"/>
          <w:left w:val="nil"/>
          <w:bottom w:val="nil"/>
          <w:right w:val="nil"/>
          <w:between w:val="nil"/>
        </w:pBdr>
        <w:tabs>
          <w:tab w:val="left" w:pos="1134"/>
        </w:tabs>
        <w:ind w:left="-91" w:right="-31" w:firstLine="709"/>
        <w:contextualSpacing/>
        <w:jc w:val="both"/>
        <w:rPr>
          <w:sz w:val="28"/>
          <w:szCs w:val="28"/>
        </w:rPr>
      </w:pPr>
      <w:r w:rsidRPr="00B93F41">
        <w:rPr>
          <w:sz w:val="28"/>
          <w:szCs w:val="28"/>
        </w:rPr>
        <w:t>постанова Кабінету Міністрів України від 3 листопада 2010 р. № 996 “Про забезпечення участі громадськості у формуванні та реалізації державної політики”.</w:t>
      </w:r>
    </w:p>
    <w:p w14:paraId="5AF3B85C" w14:textId="77777777" w:rsidR="00C966AA" w:rsidRPr="00B93F41" w:rsidRDefault="00C966AA" w:rsidP="00953DE1">
      <w:pPr>
        <w:pBdr>
          <w:top w:val="nil"/>
          <w:left w:val="nil"/>
          <w:bottom w:val="nil"/>
          <w:right w:val="nil"/>
          <w:between w:val="nil"/>
        </w:pBdr>
        <w:tabs>
          <w:tab w:val="left" w:pos="1134"/>
        </w:tabs>
        <w:ind w:left="-91" w:right="-31" w:firstLine="709"/>
        <w:contextualSpacing/>
        <w:jc w:val="both"/>
        <w:rPr>
          <w:sz w:val="28"/>
          <w:szCs w:val="28"/>
        </w:rPr>
      </w:pPr>
    </w:p>
    <w:p w14:paraId="5889ECA7" w14:textId="663B90FB" w:rsidR="00E15875" w:rsidRPr="00B93F41" w:rsidRDefault="00E15875" w:rsidP="00953DE1">
      <w:pPr>
        <w:pBdr>
          <w:top w:val="nil"/>
          <w:left w:val="nil"/>
          <w:bottom w:val="nil"/>
          <w:right w:val="nil"/>
          <w:between w:val="nil"/>
        </w:pBdr>
        <w:tabs>
          <w:tab w:val="left" w:pos="900"/>
        </w:tabs>
        <w:ind w:left="-91" w:right="-31" w:firstLine="709"/>
        <w:contextualSpacing/>
        <w:jc w:val="both"/>
        <w:rPr>
          <w:b/>
          <w:bCs/>
          <w:sz w:val="28"/>
          <w:szCs w:val="28"/>
        </w:rPr>
      </w:pPr>
      <w:r w:rsidRPr="00B93F41">
        <w:rPr>
          <w:b/>
          <w:bCs/>
          <w:sz w:val="28"/>
          <w:szCs w:val="28"/>
        </w:rPr>
        <w:t>5. Фінансово-економічне обґрунтування</w:t>
      </w:r>
    </w:p>
    <w:p w14:paraId="5DFADDFE" w14:textId="6827952A" w:rsidR="00C15AD9" w:rsidRPr="00B93F41" w:rsidRDefault="00C966AA"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Реалізація проекту </w:t>
      </w:r>
      <w:proofErr w:type="spellStart"/>
      <w:r w:rsidRPr="00B93F41">
        <w:rPr>
          <w:sz w:val="28"/>
          <w:szCs w:val="28"/>
        </w:rPr>
        <w:t>акта</w:t>
      </w:r>
      <w:proofErr w:type="spellEnd"/>
      <w:r w:rsidRPr="00B93F41">
        <w:rPr>
          <w:sz w:val="28"/>
          <w:szCs w:val="28"/>
        </w:rPr>
        <w:t xml:space="preserve"> не потребуватиме додаткових витрат з державного чи місцевих бюджетів.</w:t>
      </w:r>
    </w:p>
    <w:p w14:paraId="519247D2" w14:textId="77777777" w:rsidR="00000210" w:rsidRPr="00B93F41" w:rsidRDefault="00000210" w:rsidP="00953DE1">
      <w:pPr>
        <w:pBdr>
          <w:top w:val="nil"/>
          <w:left w:val="nil"/>
          <w:bottom w:val="nil"/>
          <w:right w:val="nil"/>
          <w:between w:val="nil"/>
        </w:pBdr>
        <w:tabs>
          <w:tab w:val="left" w:pos="900"/>
        </w:tabs>
        <w:ind w:left="-91" w:right="-31" w:firstLine="709"/>
        <w:contextualSpacing/>
        <w:jc w:val="both"/>
        <w:rPr>
          <w:sz w:val="28"/>
          <w:szCs w:val="28"/>
        </w:rPr>
      </w:pPr>
    </w:p>
    <w:p w14:paraId="069CCB61" w14:textId="1635C9B9" w:rsidR="00E15875" w:rsidRPr="00B93F41" w:rsidRDefault="00E15875" w:rsidP="00953DE1">
      <w:pPr>
        <w:pBdr>
          <w:top w:val="nil"/>
          <w:left w:val="nil"/>
          <w:bottom w:val="nil"/>
          <w:right w:val="nil"/>
          <w:between w:val="nil"/>
        </w:pBdr>
        <w:tabs>
          <w:tab w:val="left" w:pos="900"/>
        </w:tabs>
        <w:ind w:left="-91" w:right="-31" w:firstLine="709"/>
        <w:contextualSpacing/>
        <w:jc w:val="both"/>
        <w:rPr>
          <w:b/>
          <w:bCs/>
          <w:sz w:val="28"/>
          <w:szCs w:val="28"/>
        </w:rPr>
      </w:pPr>
      <w:r w:rsidRPr="00B93F41">
        <w:rPr>
          <w:b/>
          <w:bCs/>
          <w:sz w:val="28"/>
          <w:szCs w:val="28"/>
        </w:rPr>
        <w:t>6. Позиція заінтересованих сторін</w:t>
      </w:r>
    </w:p>
    <w:p w14:paraId="3C4227E7" w14:textId="521D9B20" w:rsidR="00B53D64" w:rsidRPr="00B93F41" w:rsidRDefault="00B53D64" w:rsidP="00B93F4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03 листопада 2010 р. № 996 «Про забезпечення участі громадськості у формуванні та реалізації державної політики», </w:t>
      </w:r>
      <w:proofErr w:type="spellStart"/>
      <w:r w:rsidRPr="00B93F41">
        <w:rPr>
          <w:sz w:val="28"/>
          <w:szCs w:val="28"/>
        </w:rPr>
        <w:t>Мінцифри</w:t>
      </w:r>
      <w:proofErr w:type="spellEnd"/>
      <w:r w:rsidRPr="00B93F41">
        <w:rPr>
          <w:sz w:val="28"/>
          <w:szCs w:val="28"/>
        </w:rPr>
        <w:t xml:space="preserve"> розміщено текст проекту </w:t>
      </w:r>
      <w:proofErr w:type="spellStart"/>
      <w:r w:rsidRPr="00B93F41">
        <w:rPr>
          <w:sz w:val="28"/>
          <w:szCs w:val="28"/>
        </w:rPr>
        <w:t>акта</w:t>
      </w:r>
      <w:proofErr w:type="spellEnd"/>
      <w:r w:rsidRPr="00B93F41">
        <w:rPr>
          <w:sz w:val="28"/>
          <w:szCs w:val="28"/>
        </w:rPr>
        <w:t xml:space="preserve"> на офіційній </w:t>
      </w:r>
      <w:proofErr w:type="spellStart"/>
      <w:r w:rsidRPr="00B93F41">
        <w:rPr>
          <w:sz w:val="28"/>
          <w:szCs w:val="28"/>
        </w:rPr>
        <w:t>вебсторінці</w:t>
      </w:r>
      <w:proofErr w:type="spellEnd"/>
      <w:r w:rsidRPr="00B93F41">
        <w:rPr>
          <w:sz w:val="28"/>
          <w:szCs w:val="28"/>
        </w:rPr>
        <w:t>.</w:t>
      </w:r>
      <w:r w:rsidR="00B93F41" w:rsidRPr="00B93F41">
        <w:rPr>
          <w:sz w:val="28"/>
          <w:szCs w:val="28"/>
        </w:rPr>
        <w:t xml:space="preserve"> </w:t>
      </w:r>
    </w:p>
    <w:p w14:paraId="1478A9A5" w14:textId="1C23FF10" w:rsidR="00F04C82" w:rsidRPr="00B93F41" w:rsidRDefault="00F04C82" w:rsidP="00B53D64">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Проект </w:t>
      </w:r>
      <w:proofErr w:type="spellStart"/>
      <w:r w:rsidRPr="00B93F41">
        <w:rPr>
          <w:sz w:val="28"/>
          <w:szCs w:val="28"/>
        </w:rPr>
        <w:t>акта</w:t>
      </w:r>
      <w:proofErr w:type="spellEnd"/>
      <w:r w:rsidRPr="00B93F41">
        <w:rPr>
          <w:sz w:val="28"/>
          <w:szCs w:val="28"/>
        </w:rPr>
        <w:t xml:space="preserve"> стосується питань функціонування місцевого самоврядування, прав та інтересів територіальних громад, місцевого та регіонального розвитку, тому потребує </w:t>
      </w:r>
      <w:r w:rsidR="00B93F41" w:rsidRPr="00B93F41">
        <w:rPr>
          <w:sz w:val="28"/>
          <w:szCs w:val="28"/>
        </w:rPr>
        <w:t>розгляду</w:t>
      </w:r>
      <w:r w:rsidRPr="00B93F41">
        <w:rPr>
          <w:sz w:val="28"/>
          <w:szCs w:val="28"/>
        </w:rPr>
        <w:t xml:space="preserve"> уповноваженими представниками всеукраїнських асоціацій органів місцевого самоврядування чи відповідними органами місцевого самоврядування.</w:t>
      </w:r>
    </w:p>
    <w:p w14:paraId="27930E4F" w14:textId="4D5D7C9D" w:rsidR="00F04C82" w:rsidRPr="00B93F41" w:rsidRDefault="00F04C82"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Проект </w:t>
      </w:r>
      <w:proofErr w:type="spellStart"/>
      <w:r w:rsidRPr="00B93F41">
        <w:rPr>
          <w:sz w:val="28"/>
          <w:szCs w:val="28"/>
        </w:rPr>
        <w:t>акта</w:t>
      </w:r>
      <w:proofErr w:type="spellEnd"/>
      <w:r w:rsidRPr="00B93F41">
        <w:rPr>
          <w:sz w:val="28"/>
          <w:szCs w:val="28"/>
        </w:rPr>
        <w:t xml:space="preserve"> не стосується соціально-трудової сфери, прав осіб з інвалідністю, сфери наукової та науково-технічної діяльності та не потребує </w:t>
      </w:r>
      <w:r w:rsidR="00B93F41" w:rsidRPr="00B93F41">
        <w:rPr>
          <w:sz w:val="28"/>
          <w:szCs w:val="28"/>
        </w:rPr>
        <w:t>розгляду</w:t>
      </w:r>
      <w:r w:rsidRPr="00B93F41">
        <w:rPr>
          <w:sz w:val="28"/>
          <w:szCs w:val="28"/>
        </w:rPr>
        <w:t xml:space="preserve"> представниками всеукраїнсь</w:t>
      </w:r>
      <w:bookmarkStart w:id="5" w:name="_GoBack"/>
      <w:bookmarkEnd w:id="5"/>
      <w:r w:rsidRPr="00B93F41">
        <w:rPr>
          <w:sz w:val="28"/>
          <w:szCs w:val="28"/>
        </w:rPr>
        <w:t xml:space="preserve">ких профспілок, їхніх об’єднань та всеукраїнських об’єднань організацій роботодавців, всеукраїнських об’єднань осіб з інвалідністю, Наукового комітету Національної ради з питань розвитку науки і технологій. </w:t>
      </w:r>
    </w:p>
    <w:p w14:paraId="5F0B6C10" w14:textId="543D97E6" w:rsidR="00EB2A88" w:rsidRPr="00B93F41" w:rsidRDefault="00EB2A88" w:rsidP="00953DE1">
      <w:pPr>
        <w:pBdr>
          <w:top w:val="nil"/>
          <w:left w:val="nil"/>
          <w:bottom w:val="nil"/>
          <w:right w:val="nil"/>
          <w:between w:val="nil"/>
        </w:pBdr>
        <w:tabs>
          <w:tab w:val="left" w:pos="900"/>
        </w:tabs>
        <w:ind w:left="-91" w:right="-31" w:firstLine="709"/>
        <w:contextualSpacing/>
        <w:jc w:val="both"/>
        <w:rPr>
          <w:sz w:val="28"/>
          <w:szCs w:val="28"/>
        </w:rPr>
      </w:pPr>
    </w:p>
    <w:p w14:paraId="720B4634" w14:textId="77777777" w:rsidR="00EB2A88" w:rsidRPr="00B93F41" w:rsidRDefault="00EB2A88" w:rsidP="00953DE1">
      <w:pPr>
        <w:pBdr>
          <w:top w:val="nil"/>
          <w:left w:val="nil"/>
          <w:bottom w:val="nil"/>
          <w:right w:val="nil"/>
          <w:between w:val="nil"/>
        </w:pBdr>
        <w:tabs>
          <w:tab w:val="left" w:pos="900"/>
        </w:tabs>
        <w:ind w:left="-91" w:right="-31" w:firstLine="709"/>
        <w:contextualSpacing/>
        <w:rPr>
          <w:b/>
          <w:bCs/>
          <w:sz w:val="28"/>
          <w:szCs w:val="28"/>
        </w:rPr>
      </w:pPr>
      <w:r w:rsidRPr="00B93F41">
        <w:rPr>
          <w:b/>
          <w:bCs/>
          <w:sz w:val="28"/>
          <w:szCs w:val="28"/>
        </w:rPr>
        <w:t>7. Оцінка відповідності</w:t>
      </w:r>
    </w:p>
    <w:p w14:paraId="59F93695" w14:textId="35911C2C" w:rsidR="00EB2A88" w:rsidRPr="00B93F41" w:rsidRDefault="00EB2A88"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У проекті </w:t>
      </w:r>
      <w:proofErr w:type="spellStart"/>
      <w:r w:rsidRPr="00B93F41">
        <w:rPr>
          <w:sz w:val="28"/>
          <w:szCs w:val="28"/>
        </w:rPr>
        <w:t>акта</w:t>
      </w:r>
      <w:proofErr w:type="spellEnd"/>
      <w:r w:rsidRPr="00B93F41">
        <w:rPr>
          <w:sz w:val="28"/>
          <w:szCs w:val="28"/>
        </w:rPr>
        <w:t xml:space="preserve"> відсутні положення, що стосуються прав та свобод, гарантованих Конвенцією про захист прав людини і основоположних свобод, впливають на забезпечення рівних прав та можливостей жінок і чоловіків, містять ризики вчинення корупційних правопорушень та правопорушень, пов’язаних з корупцією, створюють підстави для дискримінації. Громадська антикорупційна та громадська </w:t>
      </w:r>
      <w:proofErr w:type="spellStart"/>
      <w:r w:rsidRPr="00B93F41">
        <w:rPr>
          <w:sz w:val="28"/>
          <w:szCs w:val="28"/>
        </w:rPr>
        <w:t>антидискримінаційна</w:t>
      </w:r>
      <w:proofErr w:type="spellEnd"/>
      <w:r w:rsidRPr="00B93F41">
        <w:rPr>
          <w:sz w:val="28"/>
          <w:szCs w:val="28"/>
        </w:rPr>
        <w:t xml:space="preserve"> експертизи не проводились.</w:t>
      </w:r>
    </w:p>
    <w:p w14:paraId="6EE655AB" w14:textId="77777777" w:rsidR="00E15875" w:rsidRPr="00B93F41" w:rsidRDefault="00E15875" w:rsidP="00953DE1">
      <w:pPr>
        <w:pBdr>
          <w:top w:val="nil"/>
          <w:left w:val="nil"/>
          <w:bottom w:val="nil"/>
          <w:right w:val="nil"/>
          <w:between w:val="nil"/>
        </w:pBdr>
        <w:tabs>
          <w:tab w:val="left" w:pos="900"/>
        </w:tabs>
        <w:ind w:left="-91" w:right="-31" w:firstLine="709"/>
        <w:contextualSpacing/>
        <w:jc w:val="both"/>
        <w:rPr>
          <w:sz w:val="28"/>
          <w:szCs w:val="28"/>
        </w:rPr>
      </w:pPr>
    </w:p>
    <w:p w14:paraId="0A6CD2FA" w14:textId="714FEA17" w:rsidR="00F04C82" w:rsidRPr="00B93F41" w:rsidRDefault="00CE0A36" w:rsidP="00953DE1">
      <w:pPr>
        <w:pBdr>
          <w:top w:val="nil"/>
          <w:left w:val="nil"/>
          <w:bottom w:val="nil"/>
          <w:right w:val="nil"/>
          <w:between w:val="nil"/>
        </w:pBdr>
        <w:tabs>
          <w:tab w:val="left" w:pos="900"/>
        </w:tabs>
        <w:ind w:left="-91" w:right="-31" w:firstLine="709"/>
        <w:contextualSpacing/>
        <w:jc w:val="both"/>
        <w:rPr>
          <w:b/>
          <w:bCs/>
          <w:sz w:val="28"/>
          <w:szCs w:val="28"/>
        </w:rPr>
      </w:pPr>
      <w:r w:rsidRPr="00B93F41">
        <w:rPr>
          <w:b/>
          <w:bCs/>
          <w:sz w:val="28"/>
          <w:szCs w:val="28"/>
        </w:rPr>
        <w:lastRenderedPageBreak/>
        <w:t>8</w:t>
      </w:r>
      <w:r w:rsidR="00F04C82" w:rsidRPr="00B93F41">
        <w:rPr>
          <w:b/>
          <w:bCs/>
          <w:sz w:val="28"/>
          <w:szCs w:val="28"/>
        </w:rPr>
        <w:t>. Прогноз результатів</w:t>
      </w:r>
    </w:p>
    <w:p w14:paraId="389E8449" w14:textId="1AFE6498" w:rsidR="00F04C82" w:rsidRPr="00B93F41" w:rsidRDefault="00CD5AA5"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Р</w:t>
      </w:r>
      <w:r w:rsidR="00F04C82" w:rsidRPr="00B93F41">
        <w:rPr>
          <w:sz w:val="28"/>
          <w:szCs w:val="28"/>
        </w:rPr>
        <w:t xml:space="preserve">еалізація проекту </w:t>
      </w:r>
      <w:proofErr w:type="spellStart"/>
      <w:r w:rsidR="00F04C82" w:rsidRPr="00B93F41">
        <w:rPr>
          <w:sz w:val="28"/>
          <w:szCs w:val="28"/>
        </w:rPr>
        <w:t>акта</w:t>
      </w:r>
      <w:proofErr w:type="spellEnd"/>
      <w:r w:rsidR="00F04C82" w:rsidRPr="00B93F41">
        <w:rPr>
          <w:sz w:val="28"/>
          <w:szCs w:val="28"/>
        </w:rPr>
        <w:t xml:space="preserve"> матиме позитивний вплив на ключові інтереси отримувачів адміністративн</w:t>
      </w:r>
      <w:r w:rsidR="001B6268" w:rsidRPr="00B93F41">
        <w:rPr>
          <w:sz w:val="28"/>
          <w:szCs w:val="28"/>
        </w:rPr>
        <w:t>их</w:t>
      </w:r>
      <w:r w:rsidR="00F04C82" w:rsidRPr="00B93F41">
        <w:rPr>
          <w:sz w:val="28"/>
          <w:szCs w:val="28"/>
        </w:rPr>
        <w:t xml:space="preserve"> послуг</w:t>
      </w:r>
      <w:r w:rsidR="00F20D6C" w:rsidRPr="00B93F41">
        <w:rPr>
          <w:sz w:val="28"/>
          <w:szCs w:val="28"/>
        </w:rPr>
        <w:t xml:space="preserve">, суб’єктів надання адміністративних послуг, центрів надання адміністративних послуг. </w:t>
      </w:r>
    </w:p>
    <w:p w14:paraId="6984A3AA" w14:textId="5CE1C45B" w:rsidR="00F04C82" w:rsidRPr="00B93F41" w:rsidRDefault="00F04C82"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Реалізація </w:t>
      </w:r>
      <w:proofErr w:type="spellStart"/>
      <w:r w:rsidRPr="00B93F41">
        <w:rPr>
          <w:sz w:val="28"/>
          <w:szCs w:val="28"/>
        </w:rPr>
        <w:t>акта</w:t>
      </w:r>
      <w:proofErr w:type="spellEnd"/>
      <w:r w:rsidRPr="00B93F41">
        <w:rPr>
          <w:sz w:val="28"/>
          <w:szCs w:val="28"/>
        </w:rPr>
        <w:t xml:space="preserve"> за предметом правового</w:t>
      </w:r>
      <w:r w:rsidR="001B6268" w:rsidRPr="00B93F41">
        <w:rPr>
          <w:sz w:val="28"/>
          <w:szCs w:val="28"/>
        </w:rPr>
        <w:t xml:space="preserve"> регулювання</w:t>
      </w:r>
      <w:r w:rsidRPr="00B93F41">
        <w:rPr>
          <w:sz w:val="28"/>
          <w:szCs w:val="28"/>
        </w:rPr>
        <w:t xml:space="preserve"> матиме </w:t>
      </w:r>
      <w:r w:rsidR="00E133B7" w:rsidRPr="00B93F41">
        <w:rPr>
          <w:sz w:val="28"/>
          <w:szCs w:val="28"/>
        </w:rPr>
        <w:t xml:space="preserve">позитивний </w:t>
      </w:r>
      <w:r w:rsidRPr="00B93F41">
        <w:rPr>
          <w:sz w:val="28"/>
          <w:szCs w:val="28"/>
        </w:rPr>
        <w:t>вплив на розвиток регіонів та підвищення спроможності територіальних громад,</w:t>
      </w:r>
      <w:r w:rsidR="00F20D6C" w:rsidRPr="00B93F41">
        <w:rPr>
          <w:sz w:val="28"/>
          <w:szCs w:val="28"/>
        </w:rPr>
        <w:t xml:space="preserve"> органів місцевого самоврядування.</w:t>
      </w:r>
    </w:p>
    <w:p w14:paraId="433DDCBD" w14:textId="4AB91891" w:rsidR="00990EBC" w:rsidRPr="00B93F41" w:rsidRDefault="00F04C82"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Реалізація </w:t>
      </w:r>
      <w:proofErr w:type="spellStart"/>
      <w:r w:rsidRPr="00B93F41">
        <w:rPr>
          <w:sz w:val="28"/>
          <w:szCs w:val="28"/>
        </w:rPr>
        <w:t>акта</w:t>
      </w:r>
      <w:proofErr w:type="spellEnd"/>
      <w:r w:rsidRPr="00B93F41">
        <w:rPr>
          <w:sz w:val="28"/>
          <w:szCs w:val="28"/>
        </w:rPr>
        <w:t xml:space="preserve"> за предметом правового регулювання не впливатиме на ринкове середовище, забезпечення прав та інтересів суб’єктів господарювання, ринок праці, рівень зайнятості населення, громадське здоров’я, екологію </w:t>
      </w:r>
      <w:r w:rsidR="00FE4243" w:rsidRPr="00B93F41">
        <w:rPr>
          <w:sz w:val="28"/>
          <w:szCs w:val="28"/>
        </w:rPr>
        <w:t>т</w:t>
      </w:r>
      <w:r w:rsidRPr="00B93F41">
        <w:rPr>
          <w:sz w:val="28"/>
          <w:szCs w:val="28"/>
        </w:rPr>
        <w:t>а навколишнє природне середовище.</w:t>
      </w:r>
    </w:p>
    <w:p w14:paraId="021C1BF0" w14:textId="5204F9B7" w:rsidR="005308E3" w:rsidRPr="00B93F41" w:rsidRDefault="005308E3" w:rsidP="00953DE1">
      <w:pPr>
        <w:pBdr>
          <w:top w:val="nil"/>
          <w:left w:val="nil"/>
          <w:bottom w:val="nil"/>
          <w:right w:val="nil"/>
          <w:between w:val="nil"/>
        </w:pBdr>
        <w:tabs>
          <w:tab w:val="left" w:pos="900"/>
        </w:tabs>
        <w:ind w:left="-91" w:right="-31" w:firstLine="709"/>
        <w:contextualSpacing/>
        <w:jc w:val="both"/>
        <w:rPr>
          <w:sz w:val="28"/>
          <w:szCs w:val="28"/>
        </w:rPr>
      </w:pPr>
      <w:r w:rsidRPr="00B93F41">
        <w:rPr>
          <w:sz w:val="28"/>
          <w:szCs w:val="28"/>
        </w:rPr>
        <w:t xml:space="preserve">Реалізація </w:t>
      </w:r>
      <w:proofErr w:type="spellStart"/>
      <w:r w:rsidRPr="00B93F41">
        <w:rPr>
          <w:sz w:val="28"/>
          <w:szCs w:val="28"/>
        </w:rPr>
        <w:t>акта</w:t>
      </w:r>
      <w:proofErr w:type="spellEnd"/>
      <w:r w:rsidRPr="00B93F41">
        <w:rPr>
          <w:sz w:val="28"/>
          <w:szCs w:val="28"/>
        </w:rPr>
        <w:t xml:space="preserve"> матиме вплив на інтереси заінтересованих сторін:</w:t>
      </w:r>
    </w:p>
    <w:p w14:paraId="23ECCFA1" w14:textId="268A125B" w:rsidR="001C2104" w:rsidRPr="00B93F41" w:rsidRDefault="001C2104" w:rsidP="00953DE1">
      <w:pPr>
        <w:pBdr>
          <w:top w:val="nil"/>
          <w:left w:val="nil"/>
          <w:bottom w:val="nil"/>
          <w:right w:val="nil"/>
          <w:between w:val="nil"/>
        </w:pBdr>
        <w:tabs>
          <w:tab w:val="left" w:pos="900"/>
        </w:tabs>
        <w:ind w:left="-91" w:right="-31" w:firstLine="709"/>
        <w:contextualSpacing/>
        <w:jc w:val="both"/>
        <w:rPr>
          <w:sz w:val="28"/>
          <w:szCs w:val="28"/>
        </w:rPr>
      </w:pPr>
    </w:p>
    <w:tbl>
      <w:tblPr>
        <w:tblStyle w:val="a9"/>
        <w:tblW w:w="9776" w:type="dxa"/>
        <w:tblLook w:val="04A0" w:firstRow="1" w:lastRow="0" w:firstColumn="1" w:lastColumn="0" w:noHBand="0" w:noVBand="1"/>
      </w:tblPr>
      <w:tblGrid>
        <w:gridCol w:w="2689"/>
        <w:gridCol w:w="2409"/>
        <w:gridCol w:w="4678"/>
      </w:tblGrid>
      <w:tr w:rsidR="005308E3" w:rsidRPr="00B93F41" w14:paraId="7201825F" w14:textId="77777777" w:rsidTr="00AC04B0">
        <w:tc>
          <w:tcPr>
            <w:tcW w:w="2689" w:type="dxa"/>
          </w:tcPr>
          <w:p w14:paraId="19BA46F9" w14:textId="77777777" w:rsidR="005308E3" w:rsidRPr="00B93F41" w:rsidRDefault="005308E3" w:rsidP="00953DE1">
            <w:pPr>
              <w:pBdr>
                <w:top w:val="nil"/>
                <w:left w:val="nil"/>
                <w:bottom w:val="nil"/>
                <w:right w:val="nil"/>
                <w:between w:val="nil"/>
              </w:pBdr>
              <w:tabs>
                <w:tab w:val="left" w:pos="900"/>
                <w:tab w:val="left" w:pos="2586"/>
              </w:tabs>
              <w:ind w:left="-90" w:right="-31" w:firstLine="90"/>
              <w:contextualSpacing/>
              <w:jc w:val="center"/>
              <w:rPr>
                <w:bCs/>
                <w:sz w:val="24"/>
                <w:szCs w:val="24"/>
              </w:rPr>
            </w:pPr>
            <w:r w:rsidRPr="00B93F41">
              <w:rPr>
                <w:bCs/>
                <w:sz w:val="24"/>
                <w:szCs w:val="24"/>
              </w:rPr>
              <w:t>Заінтересована сторона</w:t>
            </w:r>
          </w:p>
          <w:p w14:paraId="1A417FA6" w14:textId="77777777" w:rsidR="005308E3" w:rsidRPr="00B93F41" w:rsidRDefault="005308E3" w:rsidP="00953DE1">
            <w:pPr>
              <w:pBdr>
                <w:top w:val="nil"/>
                <w:left w:val="nil"/>
                <w:bottom w:val="nil"/>
                <w:right w:val="nil"/>
                <w:between w:val="nil"/>
              </w:pBdr>
              <w:tabs>
                <w:tab w:val="left" w:pos="900"/>
              </w:tabs>
              <w:ind w:left="-90" w:right="-31" w:firstLine="90"/>
              <w:contextualSpacing/>
              <w:jc w:val="center"/>
              <w:rPr>
                <w:bCs/>
                <w:sz w:val="24"/>
                <w:szCs w:val="24"/>
              </w:rPr>
            </w:pPr>
          </w:p>
        </w:tc>
        <w:tc>
          <w:tcPr>
            <w:tcW w:w="2409" w:type="dxa"/>
          </w:tcPr>
          <w:p w14:paraId="5DCAB7D4" w14:textId="77777777" w:rsidR="005308E3" w:rsidRPr="00B93F41" w:rsidRDefault="005308E3" w:rsidP="00953DE1">
            <w:pPr>
              <w:pBdr>
                <w:top w:val="nil"/>
                <w:left w:val="nil"/>
                <w:bottom w:val="nil"/>
                <w:right w:val="nil"/>
                <w:between w:val="nil"/>
              </w:pBdr>
              <w:tabs>
                <w:tab w:val="left" w:pos="900"/>
              </w:tabs>
              <w:ind w:left="35" w:right="-31" w:firstLine="90"/>
              <w:contextualSpacing/>
              <w:jc w:val="center"/>
              <w:rPr>
                <w:bCs/>
                <w:sz w:val="24"/>
                <w:szCs w:val="24"/>
              </w:rPr>
            </w:pPr>
            <w:r w:rsidRPr="00B93F41">
              <w:rPr>
                <w:bCs/>
                <w:sz w:val="24"/>
                <w:szCs w:val="24"/>
              </w:rPr>
              <w:t xml:space="preserve">Вплив реалізації </w:t>
            </w:r>
            <w:proofErr w:type="spellStart"/>
            <w:r w:rsidRPr="00B93F41">
              <w:rPr>
                <w:bCs/>
                <w:sz w:val="24"/>
                <w:szCs w:val="24"/>
              </w:rPr>
              <w:t>акта</w:t>
            </w:r>
            <w:proofErr w:type="spellEnd"/>
            <w:r w:rsidRPr="00B93F41">
              <w:rPr>
                <w:bCs/>
                <w:sz w:val="24"/>
                <w:szCs w:val="24"/>
              </w:rPr>
              <w:t xml:space="preserve"> на заінтересовану сторону</w:t>
            </w:r>
          </w:p>
        </w:tc>
        <w:tc>
          <w:tcPr>
            <w:tcW w:w="4678" w:type="dxa"/>
          </w:tcPr>
          <w:p w14:paraId="44FB2684" w14:textId="48423FFC" w:rsidR="005308E3" w:rsidRPr="00B93F41" w:rsidRDefault="005308E3" w:rsidP="00953DE1">
            <w:pPr>
              <w:pBdr>
                <w:top w:val="nil"/>
                <w:left w:val="nil"/>
                <w:bottom w:val="nil"/>
                <w:right w:val="nil"/>
                <w:between w:val="nil"/>
              </w:pBdr>
              <w:tabs>
                <w:tab w:val="left" w:pos="900"/>
              </w:tabs>
              <w:ind w:right="-31" w:firstLine="90"/>
              <w:contextualSpacing/>
              <w:jc w:val="center"/>
              <w:rPr>
                <w:bCs/>
                <w:sz w:val="24"/>
                <w:szCs w:val="24"/>
              </w:rPr>
            </w:pPr>
            <w:r w:rsidRPr="00B93F41">
              <w:rPr>
                <w:bCs/>
                <w:sz w:val="24"/>
                <w:szCs w:val="24"/>
              </w:rPr>
              <w:t>Пояснення очікуваного впливу</w:t>
            </w:r>
          </w:p>
        </w:tc>
      </w:tr>
      <w:tr w:rsidR="005308E3" w:rsidRPr="00B93F41" w14:paraId="76B8B7B8" w14:textId="77777777" w:rsidTr="00AC04B0">
        <w:trPr>
          <w:trHeight w:val="923"/>
        </w:trPr>
        <w:tc>
          <w:tcPr>
            <w:tcW w:w="2689" w:type="dxa"/>
          </w:tcPr>
          <w:p w14:paraId="3EF37058" w14:textId="447C0EB7" w:rsidR="005308E3" w:rsidRPr="00B93F41" w:rsidRDefault="00094310" w:rsidP="00953DE1">
            <w:pPr>
              <w:pBdr>
                <w:top w:val="nil"/>
                <w:left w:val="nil"/>
                <w:bottom w:val="nil"/>
                <w:right w:val="nil"/>
                <w:between w:val="nil"/>
              </w:pBdr>
              <w:tabs>
                <w:tab w:val="left" w:pos="900"/>
              </w:tabs>
              <w:ind w:left="176" w:right="-31"/>
              <w:contextualSpacing/>
              <w:jc w:val="both"/>
              <w:rPr>
                <w:sz w:val="24"/>
                <w:szCs w:val="24"/>
              </w:rPr>
            </w:pPr>
            <w:r w:rsidRPr="00B93F41">
              <w:rPr>
                <w:sz w:val="24"/>
                <w:szCs w:val="24"/>
              </w:rPr>
              <w:t>Отримувачі адміністративних послуг</w:t>
            </w:r>
          </w:p>
        </w:tc>
        <w:tc>
          <w:tcPr>
            <w:tcW w:w="2409" w:type="dxa"/>
          </w:tcPr>
          <w:p w14:paraId="1C29C74C" w14:textId="4AA59EBE" w:rsidR="005308E3" w:rsidRPr="00B93F41" w:rsidRDefault="005308E3" w:rsidP="00953DE1">
            <w:pPr>
              <w:pBdr>
                <w:top w:val="nil"/>
                <w:left w:val="nil"/>
                <w:bottom w:val="nil"/>
                <w:right w:val="nil"/>
                <w:between w:val="nil"/>
              </w:pBdr>
              <w:tabs>
                <w:tab w:val="left" w:pos="900"/>
              </w:tabs>
              <w:ind w:left="-90" w:right="-31" w:firstLine="550"/>
              <w:contextualSpacing/>
              <w:rPr>
                <w:sz w:val="24"/>
                <w:szCs w:val="24"/>
              </w:rPr>
            </w:pPr>
            <w:r w:rsidRPr="00B93F41">
              <w:rPr>
                <w:sz w:val="24"/>
                <w:szCs w:val="24"/>
              </w:rPr>
              <w:t>Позитивний</w:t>
            </w:r>
          </w:p>
        </w:tc>
        <w:tc>
          <w:tcPr>
            <w:tcW w:w="4678" w:type="dxa"/>
          </w:tcPr>
          <w:p w14:paraId="09CF7499" w14:textId="4A4D8C5E" w:rsidR="005308E3" w:rsidRPr="00B93F41" w:rsidRDefault="00094310" w:rsidP="00953DE1">
            <w:pPr>
              <w:pBdr>
                <w:top w:val="nil"/>
                <w:left w:val="nil"/>
                <w:bottom w:val="nil"/>
                <w:right w:val="nil"/>
                <w:between w:val="nil"/>
              </w:pBdr>
              <w:tabs>
                <w:tab w:val="left" w:pos="900"/>
              </w:tabs>
              <w:ind w:right="-31"/>
              <w:contextualSpacing/>
              <w:jc w:val="both"/>
              <w:rPr>
                <w:sz w:val="24"/>
                <w:szCs w:val="24"/>
              </w:rPr>
            </w:pPr>
            <w:r w:rsidRPr="00B93F41">
              <w:rPr>
                <w:sz w:val="24"/>
                <w:szCs w:val="24"/>
              </w:rPr>
              <w:t>Отримувачі адміністративних зборів сплачуватимуть об’єктивно та прозоро встановлені адміністративні збори, пр</w:t>
            </w:r>
            <w:r w:rsidR="009B7D37" w:rsidRPr="00B93F41">
              <w:rPr>
                <w:sz w:val="24"/>
                <w:szCs w:val="24"/>
              </w:rPr>
              <w:t>и</w:t>
            </w:r>
            <w:r w:rsidRPr="00B93F41">
              <w:rPr>
                <w:sz w:val="24"/>
                <w:szCs w:val="24"/>
              </w:rPr>
              <w:t xml:space="preserve"> встановленні нових адміністративних зборів їх платність або безоплатність буде встановлюватись відповідно до критеріїв, обґрунтування розмірів плати за надання адміністративних послуг буде публікуватись</w:t>
            </w:r>
            <w:r w:rsidR="009E2D7C" w:rsidRPr="00B93F41">
              <w:rPr>
                <w:sz w:val="24"/>
                <w:szCs w:val="24"/>
              </w:rPr>
              <w:t xml:space="preserve"> разом із проектами нормативно-правових актів для громадського обговорення, що сприятиме підвищенню прозорості встановлення відповідних зборів</w:t>
            </w:r>
            <w:r w:rsidR="009B7D37" w:rsidRPr="00B93F41">
              <w:rPr>
                <w:sz w:val="24"/>
                <w:szCs w:val="24"/>
              </w:rPr>
              <w:t>.</w:t>
            </w:r>
          </w:p>
        </w:tc>
      </w:tr>
      <w:tr w:rsidR="005308E3" w:rsidRPr="00B93F41" w14:paraId="5A007943" w14:textId="77777777" w:rsidTr="00AC04B0">
        <w:tc>
          <w:tcPr>
            <w:tcW w:w="2689" w:type="dxa"/>
          </w:tcPr>
          <w:p w14:paraId="276CF925" w14:textId="49D03253" w:rsidR="005308E3" w:rsidRPr="00B93F41" w:rsidRDefault="00094310" w:rsidP="00953DE1">
            <w:pPr>
              <w:pBdr>
                <w:top w:val="nil"/>
                <w:left w:val="nil"/>
                <w:bottom w:val="nil"/>
                <w:right w:val="nil"/>
                <w:between w:val="nil"/>
              </w:pBdr>
              <w:tabs>
                <w:tab w:val="left" w:pos="900"/>
              </w:tabs>
              <w:ind w:left="176" w:right="-31"/>
              <w:contextualSpacing/>
              <w:jc w:val="both"/>
              <w:rPr>
                <w:sz w:val="24"/>
                <w:szCs w:val="24"/>
              </w:rPr>
            </w:pPr>
            <w:r w:rsidRPr="00B93F41">
              <w:rPr>
                <w:sz w:val="24"/>
                <w:szCs w:val="24"/>
              </w:rPr>
              <w:t>Суб’єкти надання адміністративних послуг, центри надання адміністративних послуг</w:t>
            </w:r>
            <w:r w:rsidR="005308E3" w:rsidRPr="00B93F41">
              <w:rPr>
                <w:sz w:val="24"/>
                <w:szCs w:val="24"/>
              </w:rPr>
              <w:tab/>
            </w:r>
          </w:p>
        </w:tc>
        <w:tc>
          <w:tcPr>
            <w:tcW w:w="2409" w:type="dxa"/>
          </w:tcPr>
          <w:p w14:paraId="1A9EB81E" w14:textId="6A034D28" w:rsidR="005308E3" w:rsidRPr="00B93F41" w:rsidRDefault="005308E3" w:rsidP="00953DE1">
            <w:pPr>
              <w:pBdr>
                <w:top w:val="nil"/>
                <w:left w:val="nil"/>
                <w:bottom w:val="nil"/>
                <w:right w:val="nil"/>
                <w:between w:val="nil"/>
              </w:pBdr>
              <w:tabs>
                <w:tab w:val="left" w:pos="900"/>
              </w:tabs>
              <w:ind w:left="-90" w:right="-31" w:firstLine="550"/>
              <w:contextualSpacing/>
              <w:rPr>
                <w:sz w:val="24"/>
                <w:szCs w:val="24"/>
              </w:rPr>
            </w:pPr>
            <w:r w:rsidRPr="00B93F41">
              <w:rPr>
                <w:sz w:val="24"/>
                <w:szCs w:val="24"/>
              </w:rPr>
              <w:t>Позитивний</w:t>
            </w:r>
          </w:p>
        </w:tc>
        <w:tc>
          <w:tcPr>
            <w:tcW w:w="4678" w:type="dxa"/>
          </w:tcPr>
          <w:p w14:paraId="560A08CD" w14:textId="0C9EFC9B" w:rsidR="005308E3" w:rsidRPr="00B93F41" w:rsidRDefault="009E2D7C" w:rsidP="00953DE1">
            <w:pPr>
              <w:pBdr>
                <w:top w:val="nil"/>
                <w:left w:val="nil"/>
                <w:bottom w:val="nil"/>
                <w:right w:val="nil"/>
                <w:between w:val="nil"/>
              </w:pBdr>
              <w:tabs>
                <w:tab w:val="left" w:pos="900"/>
              </w:tabs>
              <w:ind w:right="-31"/>
              <w:contextualSpacing/>
              <w:jc w:val="both"/>
              <w:rPr>
                <w:sz w:val="24"/>
                <w:szCs w:val="24"/>
              </w:rPr>
            </w:pPr>
            <w:r w:rsidRPr="00B93F41">
              <w:rPr>
                <w:sz w:val="24"/>
                <w:szCs w:val="24"/>
              </w:rPr>
              <w:t>Суб’єкти надання адміністративних послуг та центри надання адміністративних послуг несуть витрати у зв’язку із наданням адміністративних послуг, які будуть покриватись за рахунок надходжень від адміністративного збору (стосовно платних адміністративних послуг). Це сприятиме підвищенню фінансової стійкості зазначених  органів та підвищенню якості надання адміністративних послуг</w:t>
            </w:r>
            <w:r w:rsidR="009B7D37" w:rsidRPr="00B93F41">
              <w:rPr>
                <w:sz w:val="24"/>
                <w:szCs w:val="24"/>
              </w:rPr>
              <w:t>.</w:t>
            </w:r>
          </w:p>
        </w:tc>
      </w:tr>
      <w:tr w:rsidR="00094310" w:rsidRPr="00B93F41" w14:paraId="296AEE89" w14:textId="77777777" w:rsidTr="00AC04B0">
        <w:tc>
          <w:tcPr>
            <w:tcW w:w="2689" w:type="dxa"/>
          </w:tcPr>
          <w:p w14:paraId="5E5410F9" w14:textId="3D5B9EAB" w:rsidR="00094310" w:rsidRPr="00B93F41" w:rsidRDefault="00094310" w:rsidP="00953DE1">
            <w:pPr>
              <w:pBdr>
                <w:top w:val="nil"/>
                <w:left w:val="nil"/>
                <w:bottom w:val="nil"/>
                <w:right w:val="nil"/>
                <w:between w:val="nil"/>
              </w:pBdr>
              <w:tabs>
                <w:tab w:val="left" w:pos="900"/>
              </w:tabs>
              <w:ind w:left="176" w:right="-31"/>
              <w:contextualSpacing/>
              <w:jc w:val="both"/>
              <w:rPr>
                <w:sz w:val="24"/>
                <w:szCs w:val="24"/>
              </w:rPr>
            </w:pPr>
            <w:r w:rsidRPr="00B93F41">
              <w:rPr>
                <w:sz w:val="24"/>
                <w:szCs w:val="24"/>
              </w:rPr>
              <w:t>Органи місцевого самоврядування</w:t>
            </w:r>
          </w:p>
        </w:tc>
        <w:tc>
          <w:tcPr>
            <w:tcW w:w="2409" w:type="dxa"/>
          </w:tcPr>
          <w:p w14:paraId="5A1BFE6A" w14:textId="732D28FB" w:rsidR="00094310" w:rsidRPr="00B93F41" w:rsidRDefault="00C8430A" w:rsidP="00953DE1">
            <w:pPr>
              <w:pBdr>
                <w:top w:val="nil"/>
                <w:left w:val="nil"/>
                <w:bottom w:val="nil"/>
                <w:right w:val="nil"/>
                <w:between w:val="nil"/>
              </w:pBdr>
              <w:tabs>
                <w:tab w:val="left" w:pos="900"/>
              </w:tabs>
              <w:ind w:left="-90" w:right="-31" w:firstLine="550"/>
              <w:contextualSpacing/>
              <w:rPr>
                <w:sz w:val="24"/>
                <w:szCs w:val="24"/>
              </w:rPr>
            </w:pPr>
            <w:r w:rsidRPr="00B93F41">
              <w:rPr>
                <w:sz w:val="24"/>
                <w:szCs w:val="24"/>
              </w:rPr>
              <w:t>Позитивний</w:t>
            </w:r>
          </w:p>
        </w:tc>
        <w:tc>
          <w:tcPr>
            <w:tcW w:w="4678" w:type="dxa"/>
          </w:tcPr>
          <w:p w14:paraId="7EFC202A" w14:textId="28BD98E3" w:rsidR="00094310" w:rsidRPr="00B93F41" w:rsidRDefault="009E2D7C" w:rsidP="00953DE1">
            <w:pPr>
              <w:pBdr>
                <w:top w:val="nil"/>
                <w:left w:val="nil"/>
                <w:bottom w:val="nil"/>
                <w:right w:val="nil"/>
                <w:between w:val="nil"/>
              </w:pBdr>
              <w:tabs>
                <w:tab w:val="left" w:pos="900"/>
              </w:tabs>
              <w:ind w:right="-31"/>
              <w:contextualSpacing/>
              <w:jc w:val="both"/>
              <w:rPr>
                <w:sz w:val="24"/>
                <w:szCs w:val="24"/>
              </w:rPr>
            </w:pPr>
            <w:r w:rsidRPr="00B93F41">
              <w:rPr>
                <w:sz w:val="24"/>
                <w:szCs w:val="24"/>
              </w:rPr>
              <w:t xml:space="preserve">Розмір адміністративного збору буде розраховуватись на підставі даних про </w:t>
            </w:r>
            <w:r w:rsidR="00D94FAE" w:rsidRPr="00B93F41">
              <w:rPr>
                <w:sz w:val="24"/>
                <w:szCs w:val="24"/>
              </w:rPr>
              <w:t xml:space="preserve">прямі та непрямі </w:t>
            </w:r>
            <w:r w:rsidRPr="00B93F41">
              <w:rPr>
                <w:sz w:val="24"/>
                <w:szCs w:val="24"/>
              </w:rPr>
              <w:t xml:space="preserve">витрати на надання адміністративної послуги (собівартості послуги) та коригувальних коефіцієнтів, що після встановлення зборів </w:t>
            </w:r>
            <w:r w:rsidR="00D94FAE" w:rsidRPr="00B93F41">
              <w:rPr>
                <w:sz w:val="24"/>
                <w:szCs w:val="24"/>
              </w:rPr>
              <w:t xml:space="preserve">на підставі Методики визначення платності або безоплатності адміністративних послуг та розрахунку розмірів плати за їх надання (адміністративного збору), сприятиме надходженню коштів від сплати </w:t>
            </w:r>
            <w:r w:rsidR="00D94FAE" w:rsidRPr="00B93F41">
              <w:rPr>
                <w:sz w:val="24"/>
                <w:szCs w:val="24"/>
              </w:rPr>
              <w:lastRenderedPageBreak/>
              <w:t>адміністра</w:t>
            </w:r>
            <w:r w:rsidR="000464E1" w:rsidRPr="00B93F41">
              <w:rPr>
                <w:sz w:val="24"/>
                <w:szCs w:val="24"/>
              </w:rPr>
              <w:t>ти</w:t>
            </w:r>
            <w:r w:rsidR="00D94FAE" w:rsidRPr="00B93F41">
              <w:rPr>
                <w:sz w:val="24"/>
                <w:szCs w:val="24"/>
              </w:rPr>
              <w:t>вних зборів до місцевих бюджетів у розмірах, що покриватимуть витрати</w:t>
            </w:r>
            <w:r w:rsidR="000464E1" w:rsidRPr="00B93F41">
              <w:rPr>
                <w:sz w:val="24"/>
                <w:szCs w:val="24"/>
              </w:rPr>
              <w:t xml:space="preserve"> органів місцевого самоврядування</w:t>
            </w:r>
            <w:r w:rsidR="00D94FAE" w:rsidRPr="00B93F41">
              <w:rPr>
                <w:sz w:val="24"/>
                <w:szCs w:val="24"/>
              </w:rPr>
              <w:t xml:space="preserve"> </w:t>
            </w:r>
            <w:r w:rsidR="000464E1" w:rsidRPr="00B93F41">
              <w:rPr>
                <w:sz w:val="24"/>
                <w:szCs w:val="24"/>
              </w:rPr>
              <w:t>на</w:t>
            </w:r>
            <w:r w:rsidR="00D94FAE" w:rsidRPr="00B93F41">
              <w:rPr>
                <w:sz w:val="24"/>
                <w:szCs w:val="24"/>
              </w:rPr>
              <w:t xml:space="preserve"> надання відповідних послуг (у випадках, коли такі збори зараховуються до місцевих бюджетів відповідно до Бюджетного кодексу України)</w:t>
            </w:r>
            <w:r w:rsidR="009B7D37" w:rsidRPr="00B93F41">
              <w:rPr>
                <w:sz w:val="24"/>
                <w:szCs w:val="24"/>
              </w:rPr>
              <w:t>.</w:t>
            </w:r>
          </w:p>
        </w:tc>
      </w:tr>
    </w:tbl>
    <w:p w14:paraId="1644EB08" w14:textId="37D73CD7" w:rsidR="00CD5AA5" w:rsidRPr="00B93F41" w:rsidRDefault="00CD5AA5" w:rsidP="00953DE1">
      <w:pPr>
        <w:pBdr>
          <w:top w:val="nil"/>
          <w:left w:val="nil"/>
          <w:bottom w:val="nil"/>
          <w:right w:val="nil"/>
          <w:between w:val="nil"/>
        </w:pBdr>
        <w:tabs>
          <w:tab w:val="left" w:pos="900"/>
        </w:tabs>
        <w:ind w:left="-90" w:right="-31" w:firstLine="900"/>
        <w:contextualSpacing/>
        <w:jc w:val="both"/>
        <w:rPr>
          <w:sz w:val="24"/>
          <w:szCs w:val="24"/>
        </w:rPr>
      </w:pPr>
    </w:p>
    <w:p w14:paraId="5745E164" w14:textId="77777777" w:rsidR="00D731D8" w:rsidRPr="00B93F41" w:rsidRDefault="00D731D8" w:rsidP="00953DE1">
      <w:pPr>
        <w:pBdr>
          <w:top w:val="nil"/>
          <w:left w:val="nil"/>
          <w:bottom w:val="nil"/>
          <w:right w:val="nil"/>
          <w:between w:val="nil"/>
        </w:pBdr>
        <w:tabs>
          <w:tab w:val="left" w:pos="900"/>
        </w:tabs>
        <w:ind w:left="-90" w:right="-31" w:firstLine="900"/>
        <w:contextualSpacing/>
        <w:jc w:val="both"/>
        <w:rPr>
          <w:sz w:val="28"/>
          <w:szCs w:val="28"/>
        </w:rPr>
      </w:pPr>
    </w:p>
    <w:p w14:paraId="5857029A" w14:textId="77777777" w:rsidR="00CD5AA5" w:rsidRPr="00B93F41" w:rsidRDefault="00CD5AA5" w:rsidP="00953DE1">
      <w:pPr>
        <w:pBdr>
          <w:top w:val="nil"/>
          <w:left w:val="nil"/>
          <w:bottom w:val="nil"/>
          <w:right w:val="nil"/>
          <w:between w:val="nil"/>
        </w:pBdr>
        <w:tabs>
          <w:tab w:val="left" w:pos="900"/>
          <w:tab w:val="left" w:pos="1134"/>
        </w:tabs>
        <w:ind w:left="-90" w:right="-31"/>
        <w:contextualSpacing/>
        <w:jc w:val="both"/>
        <w:rPr>
          <w:b/>
          <w:sz w:val="28"/>
          <w:szCs w:val="28"/>
        </w:rPr>
      </w:pPr>
      <w:r w:rsidRPr="00B93F41">
        <w:rPr>
          <w:b/>
          <w:sz w:val="28"/>
          <w:szCs w:val="28"/>
        </w:rPr>
        <w:t xml:space="preserve">Віце-прем'єр-міністр України - Міністр </w:t>
      </w:r>
    </w:p>
    <w:p w14:paraId="1D0BB6B3" w14:textId="4C8D5226" w:rsidR="00CD5AA5" w:rsidRPr="00B93F41" w:rsidRDefault="00CD5AA5" w:rsidP="00953DE1">
      <w:pPr>
        <w:pBdr>
          <w:top w:val="nil"/>
          <w:left w:val="nil"/>
          <w:bottom w:val="nil"/>
          <w:right w:val="nil"/>
          <w:between w:val="nil"/>
        </w:pBdr>
        <w:tabs>
          <w:tab w:val="left" w:pos="900"/>
          <w:tab w:val="left" w:pos="1134"/>
        </w:tabs>
        <w:ind w:left="-90" w:right="-31"/>
        <w:contextualSpacing/>
        <w:jc w:val="both"/>
        <w:rPr>
          <w:b/>
          <w:sz w:val="28"/>
          <w:szCs w:val="28"/>
        </w:rPr>
      </w:pPr>
      <w:r w:rsidRPr="00B93F41">
        <w:rPr>
          <w:b/>
          <w:sz w:val="28"/>
          <w:szCs w:val="28"/>
        </w:rPr>
        <w:t xml:space="preserve">цифрової трансформації України </w:t>
      </w:r>
      <w:r w:rsidRPr="00B93F41">
        <w:rPr>
          <w:b/>
          <w:sz w:val="28"/>
          <w:szCs w:val="28"/>
        </w:rPr>
        <w:tab/>
      </w:r>
      <w:r w:rsidRPr="00B93F41">
        <w:rPr>
          <w:b/>
          <w:sz w:val="28"/>
          <w:szCs w:val="28"/>
        </w:rPr>
        <w:tab/>
        <w:t xml:space="preserve">                          Михайло ФЕДОРОВ</w:t>
      </w:r>
    </w:p>
    <w:p w14:paraId="656CA1F4" w14:textId="77777777" w:rsidR="00CD5AA5" w:rsidRPr="00B93F41" w:rsidRDefault="00CD5AA5" w:rsidP="00953DE1">
      <w:pPr>
        <w:pBdr>
          <w:top w:val="nil"/>
          <w:left w:val="nil"/>
          <w:bottom w:val="nil"/>
          <w:right w:val="nil"/>
          <w:between w:val="nil"/>
        </w:pBdr>
        <w:tabs>
          <w:tab w:val="left" w:pos="900"/>
          <w:tab w:val="left" w:pos="1134"/>
        </w:tabs>
        <w:ind w:left="-90" w:right="-31" w:firstLine="900"/>
        <w:contextualSpacing/>
        <w:jc w:val="both"/>
        <w:rPr>
          <w:b/>
          <w:sz w:val="28"/>
          <w:szCs w:val="28"/>
        </w:rPr>
      </w:pPr>
      <w:r w:rsidRPr="00B93F41">
        <w:rPr>
          <w:b/>
          <w:sz w:val="28"/>
          <w:szCs w:val="28"/>
        </w:rPr>
        <w:t xml:space="preserve"> </w:t>
      </w:r>
    </w:p>
    <w:p w14:paraId="22A212E7" w14:textId="67048772" w:rsidR="0008219D" w:rsidRPr="00B93F41" w:rsidRDefault="00CD5AA5" w:rsidP="00953DE1">
      <w:pPr>
        <w:pBdr>
          <w:top w:val="nil"/>
          <w:left w:val="nil"/>
          <w:bottom w:val="nil"/>
          <w:right w:val="nil"/>
          <w:between w:val="nil"/>
        </w:pBdr>
        <w:tabs>
          <w:tab w:val="left" w:pos="900"/>
          <w:tab w:val="left" w:pos="1134"/>
        </w:tabs>
        <w:ind w:right="-31"/>
        <w:contextualSpacing/>
        <w:jc w:val="both"/>
        <w:rPr>
          <w:bCs/>
          <w:sz w:val="28"/>
          <w:szCs w:val="28"/>
        </w:rPr>
      </w:pPr>
      <w:r w:rsidRPr="00B93F41">
        <w:rPr>
          <w:bCs/>
          <w:sz w:val="28"/>
          <w:szCs w:val="28"/>
        </w:rPr>
        <w:t>____ ___________2021 р.</w:t>
      </w:r>
    </w:p>
    <w:sectPr w:rsidR="0008219D" w:rsidRPr="00B93F41" w:rsidSect="00905DC5">
      <w:headerReference w:type="even" r:id="rId7"/>
      <w:headerReference w:type="default" r:id="rId8"/>
      <w:pgSz w:w="11906" w:h="16838"/>
      <w:pgMar w:top="1134" w:right="851" w:bottom="851" w:left="1588" w:header="454"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3181B" w14:textId="77777777" w:rsidR="000420FA" w:rsidRDefault="000420FA">
      <w:r>
        <w:separator/>
      </w:r>
    </w:p>
  </w:endnote>
  <w:endnote w:type="continuationSeparator" w:id="0">
    <w:p w14:paraId="12D111E3" w14:textId="77777777" w:rsidR="000420FA" w:rsidRDefault="00042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3FB7" w14:textId="77777777" w:rsidR="000420FA" w:rsidRDefault="000420FA">
      <w:r>
        <w:separator/>
      </w:r>
    </w:p>
  </w:footnote>
  <w:footnote w:type="continuationSeparator" w:id="0">
    <w:p w14:paraId="6A3B831A" w14:textId="77777777" w:rsidR="000420FA" w:rsidRDefault="00042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172B" w14:textId="77777777" w:rsidR="00DF6195" w:rsidRDefault="00DF6195">
    <w:pPr>
      <w:pBdr>
        <w:top w:val="nil"/>
        <w:left w:val="nil"/>
        <w:bottom w:val="nil"/>
        <w:right w:val="nil"/>
        <w:between w:val="nil"/>
      </w:pBdr>
      <w:tabs>
        <w:tab w:val="center" w:pos="4819"/>
        <w:tab w:val="right" w:pos="9639"/>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5C1A3C3" w14:textId="77777777" w:rsidR="00DF6195" w:rsidRDefault="00DF6195">
    <w:pPr>
      <w:pBdr>
        <w:top w:val="nil"/>
        <w:left w:val="nil"/>
        <w:bottom w:val="nil"/>
        <w:right w:val="nil"/>
        <w:between w:val="nil"/>
      </w:pBdr>
      <w:tabs>
        <w:tab w:val="center" w:pos="4819"/>
        <w:tab w:val="right" w:pos="9639"/>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87976" w14:textId="77777777" w:rsidR="00DF6195" w:rsidRPr="0093689E" w:rsidRDefault="00DF6195">
    <w:pPr>
      <w:pBdr>
        <w:top w:val="nil"/>
        <w:left w:val="nil"/>
        <w:bottom w:val="nil"/>
        <w:right w:val="nil"/>
        <w:between w:val="nil"/>
      </w:pBdr>
      <w:tabs>
        <w:tab w:val="center" w:pos="4819"/>
        <w:tab w:val="right" w:pos="9639"/>
      </w:tabs>
      <w:jc w:val="center"/>
      <w:rPr>
        <w:color w:val="000000"/>
        <w:sz w:val="28"/>
        <w:szCs w:val="28"/>
      </w:rPr>
    </w:pPr>
    <w:r w:rsidRPr="0093689E">
      <w:rPr>
        <w:color w:val="000000"/>
        <w:sz w:val="28"/>
        <w:szCs w:val="28"/>
      </w:rPr>
      <w:fldChar w:fldCharType="begin"/>
    </w:r>
    <w:r w:rsidRPr="0093689E">
      <w:rPr>
        <w:color w:val="000000"/>
        <w:sz w:val="28"/>
        <w:szCs w:val="28"/>
      </w:rPr>
      <w:instrText>PAGE</w:instrText>
    </w:r>
    <w:r w:rsidRPr="0093689E">
      <w:rPr>
        <w:color w:val="000000"/>
        <w:sz w:val="28"/>
        <w:szCs w:val="28"/>
      </w:rPr>
      <w:fldChar w:fldCharType="separate"/>
    </w:r>
    <w:r w:rsidRPr="0093689E">
      <w:rPr>
        <w:noProof/>
        <w:color w:val="000000"/>
        <w:sz w:val="28"/>
        <w:szCs w:val="28"/>
      </w:rPr>
      <w:t>5</w:t>
    </w:r>
    <w:r w:rsidRPr="0093689E">
      <w:rPr>
        <w:color w:val="000000"/>
        <w:sz w:val="28"/>
        <w:szCs w:val="28"/>
      </w:rPr>
      <w:fldChar w:fldCharType="end"/>
    </w:r>
  </w:p>
  <w:p w14:paraId="4188649B" w14:textId="77777777" w:rsidR="00DF6195" w:rsidRDefault="00DF6195">
    <w:pPr>
      <w:pBdr>
        <w:top w:val="nil"/>
        <w:left w:val="nil"/>
        <w:bottom w:val="nil"/>
        <w:right w:val="nil"/>
        <w:between w:val="nil"/>
      </w:pBdr>
      <w:tabs>
        <w:tab w:val="center" w:pos="4819"/>
        <w:tab w:val="right" w:pos="9639"/>
      </w:tabs>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6ED2"/>
    <w:multiLevelType w:val="hybridMultilevel"/>
    <w:tmpl w:val="A2922B7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677177A"/>
    <w:multiLevelType w:val="hybridMultilevel"/>
    <w:tmpl w:val="394ECD1C"/>
    <w:lvl w:ilvl="0" w:tplc="2F648C7E">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5050D69"/>
    <w:multiLevelType w:val="multilevel"/>
    <w:tmpl w:val="46C0B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7D37FBE"/>
    <w:multiLevelType w:val="hybridMultilevel"/>
    <w:tmpl w:val="692AE2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MzY3NDcwtzQwtjBU0lEKTi0uzszPAykwqgUAWRf2sywAAAA="/>
  </w:docVars>
  <w:rsids>
    <w:rsidRoot w:val="0008219D"/>
    <w:rsid w:val="00000210"/>
    <w:rsid w:val="00000438"/>
    <w:rsid w:val="00001A21"/>
    <w:rsid w:val="00020F85"/>
    <w:rsid w:val="00037E35"/>
    <w:rsid w:val="00041C5E"/>
    <w:rsid w:val="000420FA"/>
    <w:rsid w:val="000464E1"/>
    <w:rsid w:val="00061DCC"/>
    <w:rsid w:val="000706DB"/>
    <w:rsid w:val="0007694A"/>
    <w:rsid w:val="00081FE2"/>
    <w:rsid w:val="0008210B"/>
    <w:rsid w:val="0008219D"/>
    <w:rsid w:val="00094310"/>
    <w:rsid w:val="000B1DB5"/>
    <w:rsid w:val="000B25D2"/>
    <w:rsid w:val="00137344"/>
    <w:rsid w:val="001438C8"/>
    <w:rsid w:val="001552C2"/>
    <w:rsid w:val="00160ADF"/>
    <w:rsid w:val="00180E61"/>
    <w:rsid w:val="00186A26"/>
    <w:rsid w:val="001A061E"/>
    <w:rsid w:val="001B0215"/>
    <w:rsid w:val="001B5CE1"/>
    <w:rsid w:val="001B6268"/>
    <w:rsid w:val="001C2104"/>
    <w:rsid w:val="001E5587"/>
    <w:rsid w:val="001E7290"/>
    <w:rsid w:val="00205C24"/>
    <w:rsid w:val="00206660"/>
    <w:rsid w:val="00215B3A"/>
    <w:rsid w:val="0022294A"/>
    <w:rsid w:val="002304F7"/>
    <w:rsid w:val="00241D92"/>
    <w:rsid w:val="00242FD7"/>
    <w:rsid w:val="00273CBE"/>
    <w:rsid w:val="0027675D"/>
    <w:rsid w:val="002E001A"/>
    <w:rsid w:val="00313913"/>
    <w:rsid w:val="00325AE4"/>
    <w:rsid w:val="0032726F"/>
    <w:rsid w:val="00330DDE"/>
    <w:rsid w:val="00351ADC"/>
    <w:rsid w:val="00353621"/>
    <w:rsid w:val="00361316"/>
    <w:rsid w:val="00385FFE"/>
    <w:rsid w:val="00397125"/>
    <w:rsid w:val="003A110F"/>
    <w:rsid w:val="003B0C84"/>
    <w:rsid w:val="003D1713"/>
    <w:rsid w:val="00440422"/>
    <w:rsid w:val="004540D5"/>
    <w:rsid w:val="00454CF8"/>
    <w:rsid w:val="00462EC7"/>
    <w:rsid w:val="004653C1"/>
    <w:rsid w:val="004779C0"/>
    <w:rsid w:val="00481578"/>
    <w:rsid w:val="0049264D"/>
    <w:rsid w:val="00496D7B"/>
    <w:rsid w:val="004C17FA"/>
    <w:rsid w:val="005308E3"/>
    <w:rsid w:val="00561A53"/>
    <w:rsid w:val="00572866"/>
    <w:rsid w:val="00587575"/>
    <w:rsid w:val="005953F1"/>
    <w:rsid w:val="005C27CA"/>
    <w:rsid w:val="005F6321"/>
    <w:rsid w:val="00601A51"/>
    <w:rsid w:val="006156D1"/>
    <w:rsid w:val="0062483F"/>
    <w:rsid w:val="00672249"/>
    <w:rsid w:val="006869DF"/>
    <w:rsid w:val="0069085D"/>
    <w:rsid w:val="006A08ED"/>
    <w:rsid w:val="006B390B"/>
    <w:rsid w:val="006C134D"/>
    <w:rsid w:val="006E61EF"/>
    <w:rsid w:val="007106AF"/>
    <w:rsid w:val="00717E37"/>
    <w:rsid w:val="00720EA5"/>
    <w:rsid w:val="00727794"/>
    <w:rsid w:val="00730E7C"/>
    <w:rsid w:val="00731953"/>
    <w:rsid w:val="00734DD0"/>
    <w:rsid w:val="00761862"/>
    <w:rsid w:val="007A21B4"/>
    <w:rsid w:val="007D7726"/>
    <w:rsid w:val="007F49AC"/>
    <w:rsid w:val="00807788"/>
    <w:rsid w:val="00813335"/>
    <w:rsid w:val="008145D4"/>
    <w:rsid w:val="008702C6"/>
    <w:rsid w:val="008A18C5"/>
    <w:rsid w:val="008B1102"/>
    <w:rsid w:val="008D3045"/>
    <w:rsid w:val="00904FC6"/>
    <w:rsid w:val="00905A70"/>
    <w:rsid w:val="00905DC5"/>
    <w:rsid w:val="00906629"/>
    <w:rsid w:val="0092029F"/>
    <w:rsid w:val="00925B53"/>
    <w:rsid w:val="0093019C"/>
    <w:rsid w:val="00934733"/>
    <w:rsid w:val="0093689E"/>
    <w:rsid w:val="00953DE1"/>
    <w:rsid w:val="00990EBC"/>
    <w:rsid w:val="009B525A"/>
    <w:rsid w:val="009B621F"/>
    <w:rsid w:val="009B7D37"/>
    <w:rsid w:val="009C2D88"/>
    <w:rsid w:val="009E154C"/>
    <w:rsid w:val="009E2D7C"/>
    <w:rsid w:val="009F0E58"/>
    <w:rsid w:val="009F20ED"/>
    <w:rsid w:val="00A047EF"/>
    <w:rsid w:val="00A0527D"/>
    <w:rsid w:val="00A118CD"/>
    <w:rsid w:val="00A130C8"/>
    <w:rsid w:val="00A15549"/>
    <w:rsid w:val="00A31AE8"/>
    <w:rsid w:val="00A44511"/>
    <w:rsid w:val="00A57588"/>
    <w:rsid w:val="00A656D9"/>
    <w:rsid w:val="00A87DCD"/>
    <w:rsid w:val="00AB6283"/>
    <w:rsid w:val="00AC04B0"/>
    <w:rsid w:val="00AC733C"/>
    <w:rsid w:val="00AC7BE7"/>
    <w:rsid w:val="00AD6039"/>
    <w:rsid w:val="00AF1D05"/>
    <w:rsid w:val="00AF3737"/>
    <w:rsid w:val="00B33512"/>
    <w:rsid w:val="00B53D64"/>
    <w:rsid w:val="00B83BCC"/>
    <w:rsid w:val="00B93F41"/>
    <w:rsid w:val="00B9607C"/>
    <w:rsid w:val="00BB5670"/>
    <w:rsid w:val="00BC2F8D"/>
    <w:rsid w:val="00BD74CC"/>
    <w:rsid w:val="00BF446A"/>
    <w:rsid w:val="00BF6F38"/>
    <w:rsid w:val="00C042B3"/>
    <w:rsid w:val="00C15AD9"/>
    <w:rsid w:val="00C16788"/>
    <w:rsid w:val="00C21140"/>
    <w:rsid w:val="00C40A19"/>
    <w:rsid w:val="00C40D1B"/>
    <w:rsid w:val="00C46D7C"/>
    <w:rsid w:val="00C8430A"/>
    <w:rsid w:val="00C966AA"/>
    <w:rsid w:val="00CA1CB2"/>
    <w:rsid w:val="00CB00A0"/>
    <w:rsid w:val="00CB17EC"/>
    <w:rsid w:val="00CC6489"/>
    <w:rsid w:val="00CD5AA5"/>
    <w:rsid w:val="00CD6E7E"/>
    <w:rsid w:val="00CE0A36"/>
    <w:rsid w:val="00CE3073"/>
    <w:rsid w:val="00CE5175"/>
    <w:rsid w:val="00CE6A24"/>
    <w:rsid w:val="00CF36FC"/>
    <w:rsid w:val="00D10195"/>
    <w:rsid w:val="00D16105"/>
    <w:rsid w:val="00D30935"/>
    <w:rsid w:val="00D459D7"/>
    <w:rsid w:val="00D65599"/>
    <w:rsid w:val="00D731D8"/>
    <w:rsid w:val="00D93288"/>
    <w:rsid w:val="00D942C2"/>
    <w:rsid w:val="00D94FAE"/>
    <w:rsid w:val="00DA2CC3"/>
    <w:rsid w:val="00DA2E0C"/>
    <w:rsid w:val="00DC02D3"/>
    <w:rsid w:val="00DD604C"/>
    <w:rsid w:val="00DF6195"/>
    <w:rsid w:val="00DF659C"/>
    <w:rsid w:val="00E133B7"/>
    <w:rsid w:val="00E15875"/>
    <w:rsid w:val="00E26459"/>
    <w:rsid w:val="00E31C73"/>
    <w:rsid w:val="00E376D4"/>
    <w:rsid w:val="00E46A94"/>
    <w:rsid w:val="00E51C7F"/>
    <w:rsid w:val="00E626F9"/>
    <w:rsid w:val="00E674C4"/>
    <w:rsid w:val="00E67B40"/>
    <w:rsid w:val="00E75094"/>
    <w:rsid w:val="00E917BC"/>
    <w:rsid w:val="00EA3D41"/>
    <w:rsid w:val="00EB2A88"/>
    <w:rsid w:val="00EB359A"/>
    <w:rsid w:val="00EB6B01"/>
    <w:rsid w:val="00EF136B"/>
    <w:rsid w:val="00F04C82"/>
    <w:rsid w:val="00F130BF"/>
    <w:rsid w:val="00F2028D"/>
    <w:rsid w:val="00F20D0D"/>
    <w:rsid w:val="00F20D6C"/>
    <w:rsid w:val="00F34D70"/>
    <w:rsid w:val="00F43C28"/>
    <w:rsid w:val="00F72A37"/>
    <w:rsid w:val="00FC00A8"/>
    <w:rsid w:val="00FC09EA"/>
    <w:rsid w:val="00FD26DC"/>
    <w:rsid w:val="00FD6F19"/>
    <w:rsid w:val="00FE42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EDDA"/>
  <w15:docId w15:val="{4C439888-DE49-4CD0-BD95-736E26CD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3019C"/>
    <w:pPr>
      <w:ind w:left="720"/>
      <w:contextualSpacing/>
    </w:pPr>
  </w:style>
  <w:style w:type="paragraph" w:styleId="a6">
    <w:name w:val="Normal (Web)"/>
    <w:basedOn w:val="a"/>
    <w:uiPriority w:val="99"/>
    <w:semiHidden/>
    <w:unhideWhenUsed/>
    <w:rsid w:val="00A44511"/>
    <w:pPr>
      <w:spacing w:before="100" w:beforeAutospacing="1" w:after="100" w:afterAutospacing="1"/>
    </w:pPr>
    <w:rPr>
      <w:sz w:val="24"/>
      <w:szCs w:val="24"/>
      <w:lang w:val="ru-RU" w:eastAsia="ru-RU"/>
    </w:rPr>
  </w:style>
  <w:style w:type="character" w:styleId="a7">
    <w:name w:val="Hyperlink"/>
    <w:basedOn w:val="a0"/>
    <w:uiPriority w:val="99"/>
    <w:unhideWhenUsed/>
    <w:rsid w:val="006C134D"/>
    <w:rPr>
      <w:color w:val="0000FF" w:themeColor="hyperlink"/>
      <w:u w:val="single"/>
    </w:rPr>
  </w:style>
  <w:style w:type="character" w:styleId="a8">
    <w:name w:val="Unresolved Mention"/>
    <w:basedOn w:val="a0"/>
    <w:uiPriority w:val="99"/>
    <w:semiHidden/>
    <w:unhideWhenUsed/>
    <w:rsid w:val="006C134D"/>
    <w:rPr>
      <w:color w:val="605E5C"/>
      <w:shd w:val="clear" w:color="auto" w:fill="E1DFDD"/>
    </w:rPr>
  </w:style>
  <w:style w:type="table" w:styleId="a9">
    <w:name w:val="Table Grid"/>
    <w:basedOn w:val="a1"/>
    <w:uiPriority w:val="59"/>
    <w:rsid w:val="00530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93689E"/>
    <w:pPr>
      <w:tabs>
        <w:tab w:val="center" w:pos="4819"/>
        <w:tab w:val="right" w:pos="9639"/>
      </w:tabs>
    </w:pPr>
  </w:style>
  <w:style w:type="character" w:customStyle="1" w:styleId="ab">
    <w:name w:val="Нижній колонтитул Знак"/>
    <w:basedOn w:val="a0"/>
    <w:link w:val="aa"/>
    <w:uiPriority w:val="99"/>
    <w:rsid w:val="0093689E"/>
  </w:style>
  <w:style w:type="paragraph" w:styleId="ac">
    <w:name w:val="header"/>
    <w:basedOn w:val="a"/>
    <w:link w:val="ad"/>
    <w:uiPriority w:val="99"/>
    <w:unhideWhenUsed/>
    <w:rsid w:val="0093689E"/>
    <w:pPr>
      <w:tabs>
        <w:tab w:val="center" w:pos="4819"/>
        <w:tab w:val="right" w:pos="9639"/>
      </w:tabs>
    </w:pPr>
  </w:style>
  <w:style w:type="character" w:customStyle="1" w:styleId="ad">
    <w:name w:val="Верхній колонтитул Знак"/>
    <w:basedOn w:val="a0"/>
    <w:link w:val="ac"/>
    <w:uiPriority w:val="99"/>
    <w:rsid w:val="0093689E"/>
  </w:style>
  <w:style w:type="paragraph" w:styleId="ae">
    <w:name w:val="Balloon Text"/>
    <w:basedOn w:val="a"/>
    <w:link w:val="af"/>
    <w:uiPriority w:val="99"/>
    <w:semiHidden/>
    <w:unhideWhenUsed/>
    <w:rsid w:val="001C2104"/>
    <w:rPr>
      <w:rFonts w:ascii="Segoe UI" w:hAnsi="Segoe UI" w:cs="Segoe UI"/>
      <w:sz w:val="18"/>
      <w:szCs w:val="18"/>
    </w:rPr>
  </w:style>
  <w:style w:type="character" w:customStyle="1" w:styleId="af">
    <w:name w:val="Текст у виносці Знак"/>
    <w:basedOn w:val="a0"/>
    <w:link w:val="ae"/>
    <w:uiPriority w:val="99"/>
    <w:semiHidden/>
    <w:rsid w:val="001C21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02245">
      <w:bodyDiv w:val="1"/>
      <w:marLeft w:val="0"/>
      <w:marRight w:val="0"/>
      <w:marTop w:val="0"/>
      <w:marBottom w:val="0"/>
      <w:divBdr>
        <w:top w:val="none" w:sz="0" w:space="0" w:color="auto"/>
        <w:left w:val="none" w:sz="0" w:space="0" w:color="auto"/>
        <w:bottom w:val="none" w:sz="0" w:space="0" w:color="auto"/>
        <w:right w:val="none" w:sz="0" w:space="0" w:color="auto"/>
      </w:divBdr>
    </w:div>
    <w:div w:id="494608554">
      <w:bodyDiv w:val="1"/>
      <w:marLeft w:val="0"/>
      <w:marRight w:val="0"/>
      <w:marTop w:val="0"/>
      <w:marBottom w:val="0"/>
      <w:divBdr>
        <w:top w:val="none" w:sz="0" w:space="0" w:color="auto"/>
        <w:left w:val="none" w:sz="0" w:space="0" w:color="auto"/>
        <w:bottom w:val="none" w:sz="0" w:space="0" w:color="auto"/>
        <w:right w:val="none" w:sz="0" w:space="0" w:color="auto"/>
      </w:divBdr>
    </w:div>
    <w:div w:id="755052140">
      <w:bodyDiv w:val="1"/>
      <w:marLeft w:val="0"/>
      <w:marRight w:val="0"/>
      <w:marTop w:val="0"/>
      <w:marBottom w:val="0"/>
      <w:divBdr>
        <w:top w:val="none" w:sz="0" w:space="0" w:color="auto"/>
        <w:left w:val="none" w:sz="0" w:space="0" w:color="auto"/>
        <w:bottom w:val="none" w:sz="0" w:space="0" w:color="auto"/>
        <w:right w:val="none" w:sz="0" w:space="0" w:color="auto"/>
      </w:divBdr>
    </w:div>
    <w:div w:id="837616333">
      <w:bodyDiv w:val="1"/>
      <w:marLeft w:val="0"/>
      <w:marRight w:val="0"/>
      <w:marTop w:val="0"/>
      <w:marBottom w:val="0"/>
      <w:divBdr>
        <w:top w:val="none" w:sz="0" w:space="0" w:color="auto"/>
        <w:left w:val="none" w:sz="0" w:space="0" w:color="auto"/>
        <w:bottom w:val="none" w:sz="0" w:space="0" w:color="auto"/>
        <w:right w:val="none" w:sz="0" w:space="0" w:color="auto"/>
      </w:divBdr>
    </w:div>
    <w:div w:id="903027995">
      <w:bodyDiv w:val="1"/>
      <w:marLeft w:val="0"/>
      <w:marRight w:val="0"/>
      <w:marTop w:val="0"/>
      <w:marBottom w:val="0"/>
      <w:divBdr>
        <w:top w:val="none" w:sz="0" w:space="0" w:color="auto"/>
        <w:left w:val="none" w:sz="0" w:space="0" w:color="auto"/>
        <w:bottom w:val="none" w:sz="0" w:space="0" w:color="auto"/>
        <w:right w:val="none" w:sz="0" w:space="0" w:color="auto"/>
      </w:divBdr>
    </w:div>
    <w:div w:id="1146556479">
      <w:bodyDiv w:val="1"/>
      <w:marLeft w:val="0"/>
      <w:marRight w:val="0"/>
      <w:marTop w:val="0"/>
      <w:marBottom w:val="0"/>
      <w:divBdr>
        <w:top w:val="none" w:sz="0" w:space="0" w:color="auto"/>
        <w:left w:val="none" w:sz="0" w:space="0" w:color="auto"/>
        <w:bottom w:val="none" w:sz="0" w:space="0" w:color="auto"/>
        <w:right w:val="none" w:sz="0" w:space="0" w:color="auto"/>
      </w:divBdr>
    </w:div>
    <w:div w:id="1181166542">
      <w:bodyDiv w:val="1"/>
      <w:marLeft w:val="0"/>
      <w:marRight w:val="0"/>
      <w:marTop w:val="0"/>
      <w:marBottom w:val="0"/>
      <w:divBdr>
        <w:top w:val="none" w:sz="0" w:space="0" w:color="auto"/>
        <w:left w:val="none" w:sz="0" w:space="0" w:color="auto"/>
        <w:bottom w:val="none" w:sz="0" w:space="0" w:color="auto"/>
        <w:right w:val="none" w:sz="0" w:space="0" w:color="auto"/>
      </w:divBdr>
    </w:div>
    <w:div w:id="1379738790">
      <w:bodyDiv w:val="1"/>
      <w:marLeft w:val="0"/>
      <w:marRight w:val="0"/>
      <w:marTop w:val="0"/>
      <w:marBottom w:val="0"/>
      <w:divBdr>
        <w:top w:val="none" w:sz="0" w:space="0" w:color="auto"/>
        <w:left w:val="none" w:sz="0" w:space="0" w:color="auto"/>
        <w:bottom w:val="none" w:sz="0" w:space="0" w:color="auto"/>
        <w:right w:val="none" w:sz="0" w:space="0" w:color="auto"/>
      </w:divBdr>
    </w:div>
    <w:div w:id="1451196351">
      <w:bodyDiv w:val="1"/>
      <w:marLeft w:val="0"/>
      <w:marRight w:val="0"/>
      <w:marTop w:val="0"/>
      <w:marBottom w:val="0"/>
      <w:divBdr>
        <w:top w:val="none" w:sz="0" w:space="0" w:color="auto"/>
        <w:left w:val="none" w:sz="0" w:space="0" w:color="auto"/>
        <w:bottom w:val="none" w:sz="0" w:space="0" w:color="auto"/>
        <w:right w:val="none" w:sz="0" w:space="0" w:color="auto"/>
      </w:divBdr>
    </w:div>
    <w:div w:id="202050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7935</Words>
  <Characters>4524</Characters>
  <Application>Microsoft Office Word</Application>
  <DocSecurity>0</DocSecurity>
  <Lines>37</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admin</cp:lastModifiedBy>
  <cp:revision>4</cp:revision>
  <dcterms:created xsi:type="dcterms:W3CDTF">2021-07-23T11:27:00Z</dcterms:created>
  <dcterms:modified xsi:type="dcterms:W3CDTF">2021-11-08T16:31:00Z</dcterms:modified>
</cp:coreProperties>
</file>