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304AE0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bookmarkStart w:id="0" w:name="_heading=h.gjdgxs" w:colFirst="0" w:colLast="0"/>
      <w:bookmarkEnd w:id="0"/>
      <w:r w:rsidRPr="00FE1E88">
        <w:rPr>
          <w:b/>
          <w:sz w:val="28"/>
          <w:szCs w:val="28"/>
        </w:rPr>
        <w:t>АНАЛІЗ РЕГУЛЯТОРНОГО ВПЛИВУ</w:t>
      </w:r>
    </w:p>
    <w:p w14:paraId="21B563D8" w14:textId="77777777" w:rsidR="00696B67" w:rsidRPr="00FE1E88" w:rsidRDefault="002A0001">
      <w:pPr>
        <w:widowControl/>
        <w:jc w:val="center"/>
        <w:rPr>
          <w:sz w:val="28"/>
          <w:szCs w:val="28"/>
        </w:rPr>
      </w:pPr>
      <w:r w:rsidRPr="00FE1E88">
        <w:rPr>
          <w:b/>
          <w:sz w:val="28"/>
          <w:szCs w:val="28"/>
        </w:rPr>
        <w:t xml:space="preserve">до проекту постанови Кабінету Міністрів України </w:t>
      </w:r>
    </w:p>
    <w:p w14:paraId="46C42199" w14:textId="77777777" w:rsidR="00696B67" w:rsidRPr="00FE1E88" w:rsidRDefault="002A0001">
      <w:pPr>
        <w:widowControl/>
        <w:jc w:val="center"/>
        <w:rPr>
          <w:b/>
          <w:sz w:val="28"/>
          <w:szCs w:val="28"/>
        </w:rPr>
      </w:pPr>
      <w:r w:rsidRPr="00FE1E88">
        <w:rPr>
          <w:b/>
          <w:sz w:val="28"/>
          <w:szCs w:val="28"/>
        </w:rPr>
        <w:t>,,Про внесення зміни у додаток 4 до Порядку передачі в оренду державного та комунального майна”</w:t>
      </w:r>
    </w:p>
    <w:p w14:paraId="6D49B309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3F6652E9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FE1E88">
        <w:rPr>
          <w:b/>
          <w:sz w:val="28"/>
          <w:szCs w:val="28"/>
        </w:rPr>
        <w:t>І. Визначення проблеми</w:t>
      </w:r>
    </w:p>
    <w:p w14:paraId="53878B30" w14:textId="77777777" w:rsidR="00696B67" w:rsidRPr="00FE1E88" w:rsidRDefault="002A0001">
      <w:pPr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03 жовтня 2019 року Верховною Радою України було прийнято Закон України «Про оренду державного та комунального майна» (далі – Закон про оренду), який регулює правові, економічні та організаційні відносини, пов’язані з передачею в оренду майна, що перебуває в державній та комунальній власності, майна, що належить Автономній Республіці Крим, а також передачею права на експлуатацію такого майна.</w:t>
      </w:r>
    </w:p>
    <w:p w14:paraId="11F3826A" w14:textId="77777777" w:rsidR="00696B67" w:rsidRPr="00FE1E88" w:rsidRDefault="002A0001">
      <w:pPr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 xml:space="preserve">Частиною другої статті 18 Закону про оренду визначено, що без проведення аукціону можуть бути продовжені договори укладені з підприємствами, установами, організаціями, що надають соціально важливі послуги населенню, перелік яких визначається Кабінетом Міністрів України. Цей перелік визначено постановою Кабінету Міністрів України від 03.06.2020 </w:t>
      </w:r>
      <w:r w:rsidRPr="00FE1E88">
        <w:rPr>
          <w:sz w:val="28"/>
          <w:szCs w:val="28"/>
        </w:rPr>
        <w:br/>
        <w:t>№ 483 ,,Деякі питання оренди державного та комунального майна”, якою затверджено Порядок передачі в оренду державного та комунального майна та додатки до нього.</w:t>
      </w:r>
    </w:p>
    <w:p w14:paraId="45DEC50B" w14:textId="77777777" w:rsidR="00696B67" w:rsidRPr="00FE1E88" w:rsidRDefault="002A0001">
      <w:pPr>
        <w:widowControl/>
        <w:ind w:firstLine="567"/>
        <w:jc w:val="both"/>
        <w:rPr>
          <w:sz w:val="28"/>
          <w:szCs w:val="28"/>
        </w:rPr>
      </w:pPr>
      <w:r w:rsidRPr="00FE1E88">
        <w:rPr>
          <w:sz w:val="28"/>
          <w:szCs w:val="28"/>
        </w:rPr>
        <w:t xml:space="preserve">У додатку 4 до Порядку передачі в оренду державного та комунального майна, затвердженого </w:t>
      </w:r>
      <w:r w:rsidRPr="00FE1E88">
        <w:rPr>
          <w:sz w:val="28"/>
          <w:szCs w:val="28"/>
          <w:highlight w:val="white"/>
        </w:rPr>
        <w:t xml:space="preserve">постановою Кабінету Міністрів України від 03.06.2020 № 483, не зазначено </w:t>
      </w:r>
      <w:r w:rsidRPr="00FE1E88">
        <w:rPr>
          <w:sz w:val="28"/>
          <w:szCs w:val="28"/>
        </w:rPr>
        <w:t xml:space="preserve">постачальників електронних комунікаційних послуг. </w:t>
      </w:r>
    </w:p>
    <w:p w14:paraId="0E3A1B1B" w14:textId="22C4ACB1" w:rsidR="00696B67" w:rsidRPr="00FE1E88" w:rsidRDefault="00435756">
      <w:pPr>
        <w:widowControl/>
        <w:ind w:firstLine="567"/>
        <w:jc w:val="both"/>
        <w:rPr>
          <w:sz w:val="28"/>
          <w:szCs w:val="28"/>
        </w:rPr>
      </w:pPr>
      <w:bookmarkStart w:id="1" w:name="_heading=h.q5epit40js9o" w:colFirst="0" w:colLast="0"/>
      <w:bookmarkEnd w:id="1"/>
      <w:r>
        <w:rPr>
          <w:sz w:val="28"/>
          <w:szCs w:val="28"/>
        </w:rPr>
        <w:t xml:space="preserve">Відповідно до </w:t>
      </w:r>
      <w:r w:rsidR="002A0001" w:rsidRPr="00FE1E88">
        <w:rPr>
          <w:sz w:val="28"/>
          <w:szCs w:val="28"/>
        </w:rPr>
        <w:t xml:space="preserve">Закону України «Про електронні комунікації» всім кінцевим користувачам на всій території України за доступною ціною має бути доступна універсальна послуга. Згідно </w:t>
      </w:r>
      <w:r w:rsidR="00942573">
        <w:rPr>
          <w:sz w:val="28"/>
          <w:szCs w:val="28"/>
        </w:rPr>
        <w:t xml:space="preserve">зі </w:t>
      </w:r>
      <w:r w:rsidR="002A0001" w:rsidRPr="00FE1E88">
        <w:rPr>
          <w:sz w:val="28"/>
          <w:szCs w:val="28"/>
        </w:rPr>
        <w:t>статт</w:t>
      </w:r>
      <w:r w:rsidR="00942573">
        <w:rPr>
          <w:sz w:val="28"/>
          <w:szCs w:val="28"/>
        </w:rPr>
        <w:t>ею</w:t>
      </w:r>
      <w:r w:rsidR="002A0001" w:rsidRPr="00FE1E88">
        <w:rPr>
          <w:sz w:val="28"/>
          <w:szCs w:val="28"/>
        </w:rPr>
        <w:t xml:space="preserve"> 99 цього Закону універсальними послугами</w:t>
      </w:r>
      <w:r w:rsidR="00942573">
        <w:rPr>
          <w:sz w:val="28"/>
          <w:szCs w:val="28"/>
        </w:rPr>
        <w:t>,</w:t>
      </w:r>
      <w:r w:rsidR="002A0001" w:rsidRPr="00FE1E88">
        <w:rPr>
          <w:sz w:val="28"/>
          <w:szCs w:val="28"/>
        </w:rPr>
        <w:t xml:space="preserve"> </w:t>
      </w:r>
      <w:r w:rsidR="00942573">
        <w:rPr>
          <w:sz w:val="28"/>
          <w:szCs w:val="28"/>
        </w:rPr>
        <w:t xml:space="preserve">зокрема </w:t>
      </w:r>
      <w:r w:rsidR="002A0001" w:rsidRPr="00FE1E88">
        <w:rPr>
          <w:sz w:val="28"/>
          <w:szCs w:val="28"/>
        </w:rPr>
        <w:t>є послуги широкосмугового доступу до мережі Інтернет у фіксованому місці та послуги голосових електронних комунікацій у фіксованому місці.</w:t>
      </w:r>
    </w:p>
    <w:p w14:paraId="662E81B2" w14:textId="77777777" w:rsidR="00696B67" w:rsidRPr="00FE1E88" w:rsidRDefault="002A0001">
      <w:pPr>
        <w:widowControl/>
        <w:ind w:firstLine="567"/>
        <w:jc w:val="both"/>
        <w:rPr>
          <w:sz w:val="28"/>
          <w:szCs w:val="28"/>
        </w:rPr>
      </w:pPr>
      <w:bookmarkStart w:id="2" w:name="_heading=h.6g50yu7fng6k" w:colFirst="0" w:colLast="0"/>
      <w:bookmarkEnd w:id="2"/>
      <w:r w:rsidRPr="00FE1E88">
        <w:rPr>
          <w:sz w:val="28"/>
          <w:szCs w:val="28"/>
        </w:rPr>
        <w:t xml:space="preserve">Оскільки використання державного та комунального майна постачальниками електронних комунікаційних послуг крім Закону «Про доступ до об’єктів будівництва, транспорту, електроенергетики з метою розвитку телекомунікаційних мереж» регулюється також Законом про оренду, необхідним є забезпечення простої процедури щодо використання такого майна. </w:t>
      </w:r>
    </w:p>
    <w:p w14:paraId="21326DEC" w14:textId="77777777" w:rsidR="00696B67" w:rsidRPr="00FE1E88" w:rsidRDefault="002A0001">
      <w:pPr>
        <w:widowControl/>
        <w:ind w:firstLine="567"/>
        <w:jc w:val="both"/>
        <w:rPr>
          <w:sz w:val="28"/>
          <w:szCs w:val="28"/>
        </w:rPr>
      </w:pPr>
      <w:bookmarkStart w:id="3" w:name="_heading=h.k8p5afmkof0l" w:colFirst="0" w:colLast="0"/>
      <w:bookmarkEnd w:id="3"/>
      <w:r w:rsidRPr="00FE1E88">
        <w:rPr>
          <w:sz w:val="28"/>
          <w:szCs w:val="28"/>
        </w:rPr>
        <w:t xml:space="preserve">В той же  час аукціони щодо повторного оформлення договорів оренди з постачальниками електронних комунікаційних послуг потребують здійснення ряду процедур є тривалими в часі та займають від двох місяців. Таке тривале оформлення викликає значне фінансове навантаження на заявників, яким необхідно супроводжувати сотні об’єктів оренди. Крім того Фонд державного майна України листом № 10-16-12005 від 26.05.2021 повідомив Мінцифри, що </w:t>
      </w:r>
      <w:r w:rsidRPr="00FE1E88">
        <w:rPr>
          <w:sz w:val="28"/>
          <w:szCs w:val="28"/>
        </w:rPr>
        <w:lastRenderedPageBreak/>
        <w:t>результати аукціонів за участю операторів та провайдерів телекомунікацій, що ініційовані з метою розміщення телекомунікаційного обладнання, проводяться лише з одним учасником. Тобто, конкуренція щодо оренди частини дахів, стін, технічних приміщень відсутня.</w:t>
      </w:r>
    </w:p>
    <w:p w14:paraId="26AFAB90" w14:textId="77777777" w:rsidR="00696B67" w:rsidRPr="00FE1E88" w:rsidRDefault="002A0001">
      <w:pPr>
        <w:widowControl/>
        <w:ind w:firstLine="567"/>
        <w:jc w:val="both"/>
        <w:rPr>
          <w:sz w:val="28"/>
          <w:szCs w:val="28"/>
        </w:rPr>
      </w:pPr>
      <w:bookmarkStart w:id="4" w:name="_heading=h.30j0zll" w:colFirst="0" w:colLast="0"/>
      <w:bookmarkEnd w:id="4"/>
      <w:r w:rsidRPr="00FE1E88">
        <w:rPr>
          <w:sz w:val="28"/>
          <w:szCs w:val="28"/>
        </w:rPr>
        <w:t>Потреба громадян в універсальних послугах (мобільному зв’язку та Інтернеті) є однією з базових потреб, які є соціально важливими, а отже додаток 4 потребує уточнення в частині віднесення постачальників електронних комунікаційних послуг, для розміщення технічних засобів електронних комунікацій, до переліку підприємств, установ, організацій, що надають соціально важливі послуги населенню.</w:t>
      </w:r>
    </w:p>
    <w:p w14:paraId="3C5568F6" w14:textId="77777777" w:rsidR="00696B67" w:rsidRPr="00FE1E88" w:rsidRDefault="002A0001">
      <w:pPr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 xml:space="preserve">Проектом акта пропонується внести зміну у додаток 4 до Порядку передачі в оренду державного та комунального майна, затвердженого </w:t>
      </w:r>
      <w:r w:rsidRPr="00FE1E88">
        <w:rPr>
          <w:sz w:val="28"/>
          <w:szCs w:val="28"/>
          <w:highlight w:val="white"/>
        </w:rPr>
        <w:t>постановою Кабінету Міністрів України від 03.06.2020 № 483</w:t>
      </w:r>
      <w:r w:rsidRPr="00FE1E88">
        <w:rPr>
          <w:sz w:val="28"/>
          <w:szCs w:val="28"/>
        </w:rPr>
        <w:t>, з метою включення постачальників електронних комунікаційних послуг, для розміщення технічних засобів електронних комунікацій, до переліку підприємств, установ, організацій, що надають соціально важливі послуги населенню.</w:t>
      </w:r>
    </w:p>
    <w:p w14:paraId="33A8814E" w14:textId="77777777" w:rsidR="00696B67" w:rsidRPr="00FE1E88" w:rsidRDefault="002A0001">
      <w:pPr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Основні групи, на які проблема справляє вплив:</w:t>
      </w:r>
    </w:p>
    <w:p w14:paraId="6275624E" w14:textId="77777777" w:rsidR="00696B67" w:rsidRPr="00FE1E88" w:rsidRDefault="00696B67">
      <w:pPr>
        <w:rPr>
          <w:sz w:val="16"/>
          <w:szCs w:val="16"/>
        </w:rPr>
      </w:pPr>
    </w:p>
    <w:tbl>
      <w:tblPr>
        <w:tblStyle w:val="affff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55"/>
        <w:gridCol w:w="1605"/>
        <w:gridCol w:w="1479"/>
      </w:tblGrid>
      <w:tr w:rsidR="00FE1E88" w:rsidRPr="00FE1E88" w14:paraId="43F9F674" w14:textId="77777777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236D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Групи (підгрупи)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0E550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Так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0A4D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Ні</w:t>
            </w:r>
          </w:p>
        </w:tc>
      </w:tr>
      <w:tr w:rsidR="00FE1E88" w:rsidRPr="00FE1E88" w14:paraId="0AFD46DF" w14:textId="77777777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88BE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Громадяни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AE199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9F18" w14:textId="77777777" w:rsidR="00696B67" w:rsidRPr="00FE1E88" w:rsidRDefault="00696B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sz w:val="28"/>
                <w:szCs w:val="28"/>
              </w:rPr>
            </w:pPr>
          </w:p>
        </w:tc>
      </w:tr>
      <w:tr w:rsidR="00FE1E88" w:rsidRPr="00FE1E88" w14:paraId="561BE7AE" w14:textId="77777777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482BF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Держава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8B9E5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5E3C" w14:textId="77777777" w:rsidR="00696B67" w:rsidRPr="00FE1E88" w:rsidRDefault="00696B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sz w:val="28"/>
                <w:szCs w:val="28"/>
              </w:rPr>
            </w:pPr>
          </w:p>
        </w:tc>
      </w:tr>
      <w:tr w:rsidR="00FE1E88" w:rsidRPr="00FE1E88" w14:paraId="680476A7" w14:textId="77777777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EDC8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Суб’єкти господарювання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D6E4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BC5F" w14:textId="77777777" w:rsidR="00696B67" w:rsidRPr="00FE1E88" w:rsidRDefault="00696B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sz w:val="28"/>
                <w:szCs w:val="28"/>
              </w:rPr>
            </w:pPr>
          </w:p>
        </w:tc>
      </w:tr>
    </w:tbl>
    <w:p w14:paraId="0E48E553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 w:firstLine="709"/>
        <w:jc w:val="both"/>
        <w:rPr>
          <w:sz w:val="16"/>
          <w:szCs w:val="16"/>
        </w:rPr>
      </w:pPr>
    </w:p>
    <w:p w14:paraId="1D924FE9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Проблема, яку пропонується врегулювати в результаті прийняття акта, не може бути розв’язана за д</w:t>
      </w:r>
      <w:r w:rsidRPr="00FE1E88">
        <w:rPr>
          <w:sz w:val="28"/>
          <w:szCs w:val="28"/>
          <w:highlight w:val="white"/>
        </w:rPr>
        <w:t>опомогою ринкових механізмів, оскільки проект постанови передбачає її розв’язання шляхом усунення довготривалих процедур продовження дії договорів оренди державного та комунального майна.</w:t>
      </w:r>
    </w:p>
    <w:p w14:paraId="11105E50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 xml:space="preserve">Проблема </w:t>
      </w:r>
      <w:r w:rsidRPr="00FE1E88">
        <w:rPr>
          <w:sz w:val="28"/>
          <w:szCs w:val="28"/>
          <w:highlight w:val="white"/>
        </w:rPr>
        <w:t>не може бути розв’язана за допомогою діючих регуляторних актів, оскільки на даний час відсутні такі, які передбачають альтернативний порядок продовження договорів оренди державного та комунального майна.</w:t>
      </w:r>
    </w:p>
    <w:p w14:paraId="3BFECD2C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highlight w:val="white"/>
        </w:rPr>
      </w:pPr>
    </w:p>
    <w:p w14:paraId="3911EDF9" w14:textId="77777777" w:rsidR="00696B67" w:rsidRPr="00FE1E88" w:rsidRDefault="002A0001">
      <w:pPr>
        <w:widowControl/>
        <w:ind w:firstLine="709"/>
        <w:jc w:val="both"/>
      </w:pPr>
      <w:r w:rsidRPr="00FE1E88">
        <w:rPr>
          <w:b/>
          <w:sz w:val="28"/>
          <w:szCs w:val="28"/>
        </w:rPr>
        <w:t>ІІ. Цілі державного регулювання</w:t>
      </w:r>
    </w:p>
    <w:p w14:paraId="7FE32CE4" w14:textId="77777777" w:rsidR="00696B67" w:rsidRPr="00FE1E88" w:rsidRDefault="002A0001">
      <w:pPr>
        <w:widowControl/>
        <w:ind w:firstLine="567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Проект акта розроблено з метою забезпечення отримання громадянами соціально важливої послуги з доступу до Інтернету, що сприятиме забезпеченню стабільності виконання заходів щодо інформатизації, передбачених Указом Президента України від 08.07.2019 № 497 «Про деякі заходи з покращення доступу до мобільного Інтернету», постановою Кабінету Міністрів України від 05.08.2020 № 695 «Про затвердження Державної стратегії регіонального розвитку на 2021-2027 роки» та постановою Кабінету Міністрів України від 12.06.2020 № 471 «Про затвердження Програми діяльності Кабінету Міністрів України».</w:t>
      </w:r>
    </w:p>
    <w:p w14:paraId="493E12F3" w14:textId="77777777" w:rsidR="00696B67" w:rsidRPr="00FE1E88" w:rsidRDefault="002A0001">
      <w:pPr>
        <w:widowControl/>
        <w:ind w:firstLine="567"/>
        <w:jc w:val="both"/>
        <w:rPr>
          <w:sz w:val="28"/>
          <w:szCs w:val="28"/>
        </w:rPr>
      </w:pPr>
      <w:r w:rsidRPr="00FE1E88">
        <w:rPr>
          <w:sz w:val="28"/>
          <w:szCs w:val="28"/>
        </w:rPr>
        <w:t xml:space="preserve">Прийняття акта забезпечуватиме більш стабільну роботу мобільного зв’язку та Інтернету, які є соціально важливими для населення, що матиме позитивний ефект для держави, громадян та бізнесу. </w:t>
      </w:r>
    </w:p>
    <w:p w14:paraId="6D69D24F" w14:textId="77777777" w:rsidR="00696B67" w:rsidRPr="00FE1E88" w:rsidRDefault="00696B67">
      <w:pPr>
        <w:ind w:firstLine="709"/>
        <w:jc w:val="both"/>
        <w:rPr>
          <w:sz w:val="28"/>
          <w:szCs w:val="28"/>
        </w:rPr>
      </w:pPr>
    </w:p>
    <w:p w14:paraId="0FB61F55" w14:textId="77777777" w:rsidR="00696B67" w:rsidRPr="00FE1E88" w:rsidRDefault="00696B67">
      <w:pPr>
        <w:ind w:firstLine="851"/>
        <w:jc w:val="both"/>
        <w:rPr>
          <w:sz w:val="28"/>
          <w:szCs w:val="28"/>
        </w:rPr>
      </w:pPr>
    </w:p>
    <w:p w14:paraId="58DCB274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E1E88">
        <w:rPr>
          <w:b/>
          <w:sz w:val="28"/>
          <w:szCs w:val="28"/>
        </w:rPr>
        <w:t>ІІІ. Визначення та оцінка альтернативних способів досягнення цілей</w:t>
      </w:r>
    </w:p>
    <w:p w14:paraId="25B6FD49" w14:textId="77777777" w:rsidR="00696B67" w:rsidRPr="00FE1E88" w:rsidRDefault="002A000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left="0" w:firstLine="709"/>
        <w:jc w:val="both"/>
      </w:pPr>
      <w:r w:rsidRPr="00FE1E88">
        <w:rPr>
          <w:sz w:val="28"/>
          <w:szCs w:val="28"/>
        </w:rPr>
        <w:t>Визначення альтернативних способів</w:t>
      </w:r>
    </w:p>
    <w:p w14:paraId="781F97A2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Під час розробки проекту постанови було розглянуто такі альтернативні способи досягнення визначених цілей державного регулювання:</w:t>
      </w:r>
    </w:p>
    <w:p w14:paraId="6F0911F1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140" w:firstLine="709"/>
        <w:jc w:val="both"/>
        <w:rPr>
          <w:sz w:val="16"/>
          <w:szCs w:val="16"/>
        </w:rPr>
      </w:pPr>
    </w:p>
    <w:tbl>
      <w:tblPr>
        <w:tblStyle w:val="affffb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5"/>
        <w:gridCol w:w="7574"/>
      </w:tblGrid>
      <w:tr w:rsidR="00FE1E88" w:rsidRPr="00FE1E88" w14:paraId="186B5A27" w14:textId="77777777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24090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Вид альтернатив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B173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284"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Опис альтернативи</w:t>
            </w:r>
          </w:p>
        </w:tc>
      </w:tr>
      <w:tr w:rsidR="00FE1E88" w:rsidRPr="00FE1E88" w14:paraId="4A6E52FE" w14:textId="77777777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E47AF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1:</w:t>
            </w:r>
          </w:p>
          <w:p w14:paraId="46C0E349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31C5" w14:textId="77777777" w:rsidR="00696B67" w:rsidRPr="00FE1E88" w:rsidRDefault="009A0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31" w:firstLine="461"/>
              <w:jc w:val="both"/>
              <w:rPr>
                <w:sz w:val="28"/>
                <w:szCs w:val="28"/>
                <w:highlight w:val="white"/>
              </w:rPr>
            </w:pPr>
            <w:sdt>
              <w:sdtPr>
                <w:tag w:val="goog_rdk_0"/>
                <w:id w:val="-2019918403"/>
              </w:sdtPr>
              <w:sdtEndPr/>
              <w:sdtContent>
                <w:r w:rsidR="002A0001" w:rsidRPr="00FE1E88">
                  <w:rPr>
                    <w:rFonts w:eastAsia="Gungsuh"/>
                    <w:sz w:val="28"/>
                    <w:szCs w:val="28"/>
                    <w:highlight w:val="white"/>
                  </w:rPr>
                  <w:t>Перша альтернатива − залишити регулювання без змін. Проте ця альтернатива є недоцільною, оскільки визначені цілі державного регулювання досягнуті не будуть і постачальникам електронних комунікаційних послуг не буде надана можливість швидкого та своєчасного продовження договорів оренди державного та комунального майна з метою безперебійного забезпечення населення доступом до мобільного зв’язку та Інтернету.</w:t>
                </w:r>
              </w:sdtContent>
            </w:sdt>
          </w:p>
        </w:tc>
      </w:tr>
      <w:tr w:rsidR="00FE1E88" w:rsidRPr="00FE1E88" w14:paraId="154E4B0C" w14:textId="77777777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C101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2:</w:t>
            </w:r>
          </w:p>
          <w:p w14:paraId="1E62F7F7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прийняття проекту постанови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85D6" w14:textId="77777777" w:rsidR="00696B67" w:rsidRPr="00FE1E88" w:rsidRDefault="009A0DAB">
            <w:pPr>
              <w:ind w:right="31" w:firstLine="461"/>
              <w:jc w:val="both"/>
              <w:rPr>
                <w:sz w:val="28"/>
                <w:szCs w:val="28"/>
                <w:highlight w:val="white"/>
              </w:rPr>
            </w:pPr>
            <w:sdt>
              <w:sdtPr>
                <w:tag w:val="goog_rdk_1"/>
                <w:id w:val="673922192"/>
              </w:sdtPr>
              <w:sdtEndPr/>
              <w:sdtContent>
                <w:r w:rsidR="002A0001" w:rsidRPr="00FE1E88">
                  <w:rPr>
                    <w:rFonts w:eastAsia="Gungsuh"/>
                    <w:sz w:val="28"/>
                    <w:szCs w:val="28"/>
                    <w:highlight w:val="white"/>
                  </w:rPr>
                  <w:t>Друга альтернатива − прийняття регуляторного акта є оптимальним способом вирішення зазначеної проблеми. Внесення зміни у додаток 4 до Порядку передачі в оренду державного та комунального майна, затвердженого постановою Кабінету Міністрів України від 03.06.2020 № 483</w:t>
                </w:r>
              </w:sdtContent>
            </w:sdt>
            <w:r w:rsidR="002A0001" w:rsidRPr="00FE1E88">
              <w:rPr>
                <w:sz w:val="28"/>
                <w:szCs w:val="28"/>
              </w:rPr>
              <w:t>,</w:t>
            </w:r>
            <w:r w:rsidR="002A0001" w:rsidRPr="00FE1E88">
              <w:rPr>
                <w:sz w:val="28"/>
                <w:szCs w:val="28"/>
                <w:highlight w:val="white"/>
              </w:rPr>
              <w:t xml:space="preserve"> забезпечить сталість існуючої мережі та надасть можливість постачальникам електронних комунікаційних послуг здійснювати подальше розгортання волоконно-оптичних ліній зв'язку на території України та забезпечувати більш стабільну роботу мобільного зв’язку та Інтернету.</w:t>
            </w:r>
          </w:p>
        </w:tc>
      </w:tr>
    </w:tbl>
    <w:p w14:paraId="77A1B8D6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/>
        <w:jc w:val="both"/>
        <w:rPr>
          <w:sz w:val="24"/>
          <w:szCs w:val="24"/>
        </w:rPr>
      </w:pPr>
    </w:p>
    <w:p w14:paraId="123CF3C3" w14:textId="77777777" w:rsidR="00696B67" w:rsidRPr="00FE1E88" w:rsidRDefault="002A000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140" w:firstLine="709"/>
        <w:jc w:val="both"/>
      </w:pPr>
      <w:r w:rsidRPr="00FE1E88">
        <w:rPr>
          <w:sz w:val="28"/>
          <w:szCs w:val="28"/>
        </w:rPr>
        <w:t>Оцінка обраних альтернативних способів досягнення цілей</w:t>
      </w:r>
    </w:p>
    <w:p w14:paraId="476049CB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993"/>
        <w:jc w:val="both"/>
        <w:rPr>
          <w:i/>
          <w:sz w:val="28"/>
          <w:szCs w:val="28"/>
        </w:rPr>
      </w:pPr>
      <w:r w:rsidRPr="00FE1E88">
        <w:rPr>
          <w:i/>
          <w:sz w:val="28"/>
          <w:szCs w:val="28"/>
        </w:rPr>
        <w:t>Оцінка впливу на сферу інтересів держави</w:t>
      </w:r>
    </w:p>
    <w:p w14:paraId="53FBD54D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tbl>
      <w:tblPr>
        <w:tblStyle w:val="affffc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5"/>
        <w:gridCol w:w="6135"/>
        <w:gridCol w:w="1409"/>
      </w:tblGrid>
      <w:tr w:rsidR="00FE1E88" w:rsidRPr="00FE1E88" w14:paraId="60FF5AEC" w14:textId="7777777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2BBAB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Вид альтернатив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8103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Вигоди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2D87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Витрати</w:t>
            </w:r>
          </w:p>
        </w:tc>
      </w:tr>
      <w:tr w:rsidR="00FE1E88" w:rsidRPr="00FE1E88" w14:paraId="431567C6" w14:textId="7777777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0097E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1:</w:t>
            </w:r>
          </w:p>
          <w:p w14:paraId="7C8906FA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DADB7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Відсутні.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19EC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Відсутні.</w:t>
            </w:r>
          </w:p>
        </w:tc>
      </w:tr>
      <w:tr w:rsidR="00FE1E88" w:rsidRPr="00FE1E88" w14:paraId="243AAC49" w14:textId="7777777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AE621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2:</w:t>
            </w:r>
          </w:p>
          <w:p w14:paraId="199B599B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прийняття проекту постанови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4C13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sz w:val="28"/>
                <w:szCs w:val="28"/>
                <w:shd w:val="clear" w:color="auto" w:fill="FF9900"/>
              </w:rPr>
            </w:pPr>
            <w:r w:rsidRPr="00FE1E88">
              <w:rPr>
                <w:sz w:val="28"/>
                <w:szCs w:val="28"/>
              </w:rPr>
              <w:t>Високі, оскільки будуть створені умови для швидкого забезпечення населення доступом до інтернету, що в свою чергу надасть можливість подолати цифровий розрив в Україні і оперативно надавати соціальні та адміністративні послуги.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5AA9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yellow"/>
              </w:rPr>
            </w:pPr>
            <w:r w:rsidRPr="00FE1E88">
              <w:rPr>
                <w:sz w:val="28"/>
                <w:szCs w:val="28"/>
              </w:rPr>
              <w:t>Відсутні.</w:t>
            </w:r>
          </w:p>
        </w:tc>
      </w:tr>
    </w:tbl>
    <w:p w14:paraId="79F02A69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sz w:val="28"/>
          <w:szCs w:val="28"/>
        </w:rPr>
      </w:pPr>
    </w:p>
    <w:p w14:paraId="0D97E4D6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right="140" w:firstLine="709"/>
        <w:jc w:val="both"/>
        <w:rPr>
          <w:sz w:val="28"/>
          <w:szCs w:val="28"/>
        </w:rPr>
      </w:pPr>
      <w:r w:rsidRPr="00FE1E88">
        <w:rPr>
          <w:i/>
          <w:sz w:val="28"/>
          <w:szCs w:val="28"/>
        </w:rPr>
        <w:t>Оцінка впливу на сферу інтересів громадян</w:t>
      </w:r>
      <w:r w:rsidRPr="00FE1E88">
        <w:rPr>
          <w:sz w:val="28"/>
          <w:szCs w:val="28"/>
        </w:rPr>
        <w:t xml:space="preserve"> </w:t>
      </w:r>
    </w:p>
    <w:p w14:paraId="1732AA28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tbl>
      <w:tblPr>
        <w:tblStyle w:val="affffd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40"/>
        <w:gridCol w:w="6090"/>
        <w:gridCol w:w="1409"/>
      </w:tblGrid>
      <w:tr w:rsidR="00FE1E88" w:rsidRPr="00FE1E88" w14:paraId="49470ECF" w14:textId="77777777"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66DCB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Вид альтернатив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EAD22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Вигоди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C785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Витрати</w:t>
            </w:r>
          </w:p>
        </w:tc>
      </w:tr>
      <w:tr w:rsidR="00FE1E88" w:rsidRPr="00FE1E88" w14:paraId="2C44A835" w14:textId="77777777"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FFEB4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1:</w:t>
            </w:r>
          </w:p>
          <w:p w14:paraId="6EAB219E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5AF9F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Відсутні.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3F1A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Відсутні.</w:t>
            </w:r>
          </w:p>
        </w:tc>
      </w:tr>
      <w:tr w:rsidR="00FE1E88" w:rsidRPr="00FE1E88" w14:paraId="6E407431" w14:textId="77777777"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5B1F9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2:</w:t>
            </w:r>
          </w:p>
          <w:p w14:paraId="4CB98A8D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прийняття проекту постанови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52F0C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sz w:val="28"/>
                <w:szCs w:val="28"/>
                <w:highlight w:val="white"/>
              </w:rPr>
            </w:pPr>
            <w:r w:rsidRPr="00FE1E88">
              <w:rPr>
                <w:sz w:val="28"/>
                <w:szCs w:val="28"/>
                <w:highlight w:val="white"/>
              </w:rPr>
              <w:t>Високі, оскільки громадяни швидше будуть забезпечені доступом до мобільного зв’язку та Інтернету, що в свою чергу надасть можливість оперативно отримувати соціальні та адміністративні послуги.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A172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yellow"/>
              </w:rPr>
            </w:pPr>
            <w:r w:rsidRPr="00FE1E88">
              <w:rPr>
                <w:sz w:val="28"/>
                <w:szCs w:val="28"/>
              </w:rPr>
              <w:t>Відсутні.</w:t>
            </w:r>
          </w:p>
        </w:tc>
      </w:tr>
    </w:tbl>
    <w:p w14:paraId="39B67D94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28"/>
          <w:szCs w:val="28"/>
        </w:rPr>
      </w:pPr>
    </w:p>
    <w:p w14:paraId="28FC6152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sz w:val="28"/>
          <w:szCs w:val="28"/>
          <w:highlight w:val="white"/>
        </w:rPr>
      </w:pPr>
      <w:r w:rsidRPr="00FE1E88">
        <w:rPr>
          <w:i/>
          <w:sz w:val="28"/>
          <w:szCs w:val="28"/>
          <w:highlight w:val="white"/>
        </w:rPr>
        <w:t>Оцінка впливу на сферу інтересів суб’єктів господарювання</w:t>
      </w:r>
    </w:p>
    <w:p w14:paraId="752E565C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sz w:val="16"/>
          <w:szCs w:val="16"/>
        </w:rPr>
      </w:pPr>
    </w:p>
    <w:tbl>
      <w:tblPr>
        <w:tblStyle w:val="affffe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134"/>
        <w:gridCol w:w="1176"/>
        <w:gridCol w:w="1050"/>
        <w:gridCol w:w="1095"/>
        <w:gridCol w:w="1073"/>
      </w:tblGrid>
      <w:tr w:rsidR="00FE1E88" w:rsidRPr="00FE1E88" w14:paraId="7D12820D" w14:textId="77777777">
        <w:trPr>
          <w:trHeight w:val="345"/>
        </w:trPr>
        <w:tc>
          <w:tcPr>
            <w:tcW w:w="4111" w:type="dxa"/>
            <w:shd w:val="clear" w:color="auto" w:fill="auto"/>
          </w:tcPr>
          <w:p w14:paraId="0DB403E2" w14:textId="77777777" w:rsidR="00696B67" w:rsidRPr="00FE1E88" w:rsidRDefault="002A0001">
            <w:pPr>
              <w:widowControl/>
              <w:tabs>
                <w:tab w:val="left" w:pos="1406"/>
              </w:tabs>
              <w:ind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Показник</w:t>
            </w:r>
          </w:p>
        </w:tc>
        <w:tc>
          <w:tcPr>
            <w:tcW w:w="1134" w:type="dxa"/>
            <w:shd w:val="clear" w:color="auto" w:fill="auto"/>
          </w:tcPr>
          <w:p w14:paraId="4E059D56" w14:textId="77777777" w:rsidR="00696B67" w:rsidRPr="00FE1E88" w:rsidRDefault="002A0001">
            <w:pPr>
              <w:widowControl/>
              <w:tabs>
                <w:tab w:val="left" w:pos="1406"/>
              </w:tabs>
              <w:ind w:right="-203" w:hanging="15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Великі</w:t>
            </w:r>
          </w:p>
        </w:tc>
        <w:tc>
          <w:tcPr>
            <w:tcW w:w="1176" w:type="dxa"/>
            <w:shd w:val="clear" w:color="auto" w:fill="auto"/>
          </w:tcPr>
          <w:p w14:paraId="4871DAD6" w14:textId="77777777" w:rsidR="00696B67" w:rsidRPr="00FE1E88" w:rsidRDefault="002A0001">
            <w:pPr>
              <w:widowControl/>
              <w:tabs>
                <w:tab w:val="left" w:pos="1119"/>
              </w:tabs>
              <w:ind w:right="-68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Середні</w:t>
            </w:r>
          </w:p>
        </w:tc>
        <w:tc>
          <w:tcPr>
            <w:tcW w:w="1050" w:type="dxa"/>
            <w:shd w:val="clear" w:color="auto" w:fill="auto"/>
          </w:tcPr>
          <w:p w14:paraId="52E5217A" w14:textId="77777777" w:rsidR="00696B67" w:rsidRPr="00FE1E88" w:rsidRDefault="002A0001">
            <w:pPr>
              <w:widowControl/>
              <w:tabs>
                <w:tab w:val="left" w:pos="834"/>
              </w:tabs>
              <w:ind w:right="-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Малі</w:t>
            </w:r>
          </w:p>
        </w:tc>
        <w:tc>
          <w:tcPr>
            <w:tcW w:w="1095" w:type="dxa"/>
            <w:shd w:val="clear" w:color="auto" w:fill="auto"/>
          </w:tcPr>
          <w:p w14:paraId="3B422814" w14:textId="77777777" w:rsidR="00696B67" w:rsidRPr="00FE1E88" w:rsidRDefault="002A0001">
            <w:pPr>
              <w:widowControl/>
              <w:tabs>
                <w:tab w:val="left" w:pos="984"/>
              </w:tabs>
              <w:ind w:right="-137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Мікро</w:t>
            </w:r>
          </w:p>
        </w:tc>
        <w:tc>
          <w:tcPr>
            <w:tcW w:w="1073" w:type="dxa"/>
            <w:shd w:val="clear" w:color="auto" w:fill="auto"/>
          </w:tcPr>
          <w:p w14:paraId="74084A2C" w14:textId="77777777" w:rsidR="00696B67" w:rsidRPr="00FE1E88" w:rsidRDefault="002A0001">
            <w:pPr>
              <w:widowControl/>
              <w:tabs>
                <w:tab w:val="left" w:pos="984"/>
              </w:tabs>
              <w:ind w:right="12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Разом</w:t>
            </w:r>
          </w:p>
        </w:tc>
      </w:tr>
      <w:tr w:rsidR="00FE1E88" w:rsidRPr="00FE1E88" w14:paraId="2B102BD1" w14:textId="77777777">
        <w:trPr>
          <w:trHeight w:val="280"/>
        </w:trPr>
        <w:tc>
          <w:tcPr>
            <w:tcW w:w="4111" w:type="dxa"/>
            <w:shd w:val="clear" w:color="auto" w:fill="auto"/>
          </w:tcPr>
          <w:p w14:paraId="4A142788" w14:textId="77777777" w:rsidR="00696B67" w:rsidRPr="00FE1E88" w:rsidRDefault="002A0001">
            <w:pPr>
              <w:widowControl/>
              <w:tabs>
                <w:tab w:val="left" w:pos="1406"/>
              </w:tabs>
              <w:ind w:right="140"/>
              <w:jc w:val="both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Кількість суб’єктів господарювання, які підпадають під дію регулювання, одиниць*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23D5B29" w14:textId="77777777" w:rsidR="00696B67" w:rsidRPr="00FE1E88" w:rsidRDefault="002A0001">
            <w:pPr>
              <w:widowControl/>
              <w:tabs>
                <w:tab w:val="left" w:pos="1406"/>
              </w:tabs>
              <w:ind w:right="-68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2084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06DEE3B4" w14:textId="77777777" w:rsidR="00696B67" w:rsidRPr="00FE1E88" w:rsidRDefault="002A0001">
            <w:pPr>
              <w:widowControl/>
              <w:tabs>
                <w:tab w:val="left" w:pos="1406"/>
              </w:tabs>
              <w:ind w:right="-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2753</w:t>
            </w:r>
          </w:p>
        </w:tc>
        <w:tc>
          <w:tcPr>
            <w:tcW w:w="1073" w:type="dxa"/>
            <w:shd w:val="clear" w:color="auto" w:fill="auto"/>
          </w:tcPr>
          <w:p w14:paraId="2FD21F86" w14:textId="77777777" w:rsidR="00696B67" w:rsidRPr="00FE1E88" w:rsidRDefault="002A0001">
            <w:pPr>
              <w:widowControl/>
              <w:tabs>
                <w:tab w:val="left" w:pos="1406"/>
              </w:tabs>
              <w:ind w:right="-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4837</w:t>
            </w:r>
          </w:p>
        </w:tc>
      </w:tr>
      <w:tr w:rsidR="00FE1E88" w:rsidRPr="00FE1E88" w14:paraId="468A5EBD" w14:textId="77777777">
        <w:trPr>
          <w:trHeight w:val="763"/>
        </w:trPr>
        <w:tc>
          <w:tcPr>
            <w:tcW w:w="4111" w:type="dxa"/>
            <w:shd w:val="clear" w:color="auto" w:fill="auto"/>
          </w:tcPr>
          <w:p w14:paraId="266DBAD8" w14:textId="77777777" w:rsidR="00696B67" w:rsidRPr="00FE1E88" w:rsidRDefault="002A0001">
            <w:pPr>
              <w:widowControl/>
              <w:tabs>
                <w:tab w:val="left" w:pos="1406"/>
              </w:tabs>
              <w:ind w:right="140"/>
              <w:jc w:val="both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Питома вага групи у загальній кількості, відсотків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5AA5BE5B" w14:textId="77777777" w:rsidR="00696B67" w:rsidRPr="00FE1E88" w:rsidRDefault="002A0001">
            <w:pPr>
              <w:widowControl/>
              <w:tabs>
                <w:tab w:val="left" w:pos="1406"/>
              </w:tabs>
              <w:ind w:right="-68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43%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23848F00" w14:textId="77777777" w:rsidR="00696B67" w:rsidRPr="00FE1E88" w:rsidRDefault="002A0001">
            <w:pPr>
              <w:widowControl/>
              <w:tabs>
                <w:tab w:val="left" w:pos="1406"/>
              </w:tabs>
              <w:ind w:right="-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57%</w:t>
            </w:r>
          </w:p>
        </w:tc>
        <w:tc>
          <w:tcPr>
            <w:tcW w:w="1073" w:type="dxa"/>
            <w:shd w:val="clear" w:color="auto" w:fill="auto"/>
          </w:tcPr>
          <w:p w14:paraId="2F6EBE61" w14:textId="77777777" w:rsidR="00696B67" w:rsidRPr="00FE1E88" w:rsidRDefault="002A0001">
            <w:pPr>
              <w:widowControl/>
              <w:tabs>
                <w:tab w:val="left" w:pos="1406"/>
              </w:tabs>
              <w:ind w:right="-68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100%</w:t>
            </w:r>
          </w:p>
        </w:tc>
      </w:tr>
    </w:tbl>
    <w:p w14:paraId="456147C9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sz w:val="28"/>
          <w:szCs w:val="28"/>
          <w:highlight w:val="white"/>
        </w:rPr>
      </w:pPr>
      <w:r w:rsidRPr="00FE1E88">
        <w:rPr>
          <w:sz w:val="28"/>
          <w:szCs w:val="28"/>
          <w:highlight w:val="white"/>
        </w:rPr>
        <w:t>*Дані згідно інформації Реєстру операторів, провайдерів телекомунікацій, розміщеної на сайті НКРЗІ станом на 16.11.2021.</w:t>
      </w:r>
    </w:p>
    <w:p w14:paraId="400BBCAA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sz w:val="28"/>
          <w:szCs w:val="28"/>
        </w:rPr>
      </w:pPr>
    </w:p>
    <w:p w14:paraId="1D51AD03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sz w:val="28"/>
          <w:szCs w:val="28"/>
          <w:highlight w:val="white"/>
        </w:rPr>
      </w:pPr>
      <w:bookmarkStart w:id="5" w:name="_heading=h.2et92p0" w:colFirst="0" w:colLast="0"/>
      <w:bookmarkEnd w:id="5"/>
      <w:r w:rsidRPr="00FE1E88">
        <w:rPr>
          <w:sz w:val="28"/>
          <w:szCs w:val="28"/>
          <w:highlight w:val="white"/>
        </w:rPr>
        <w:t>Витрати у суб’єктів господарювання внаслідок дії регуляторного акта не виникатимуть, оскільки він спрямований на пришвидшення процедури продовження договорів оренди державного та комунального майна.</w:t>
      </w:r>
    </w:p>
    <w:p w14:paraId="61670B1A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tbl>
      <w:tblPr>
        <w:tblStyle w:val="afffff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75"/>
        <w:gridCol w:w="3930"/>
        <w:gridCol w:w="3434"/>
      </w:tblGrid>
      <w:tr w:rsidR="00FE1E88" w:rsidRPr="00FE1E88" w14:paraId="659FD9E6" w14:textId="77777777">
        <w:trPr>
          <w:trHeight w:val="22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1DB6E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 xml:space="preserve"> Вид альтернатив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BF5E2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Вигоди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4C0A9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Витрати</w:t>
            </w:r>
          </w:p>
        </w:tc>
      </w:tr>
      <w:tr w:rsidR="00FE1E88" w:rsidRPr="00FE1E88" w14:paraId="685B37B0" w14:textId="7777777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749D6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1:</w:t>
            </w:r>
          </w:p>
          <w:p w14:paraId="3B586531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EE975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Відсутні.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F137C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b/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Наявні, оскільки час та процедура продовження договорів оренди потребує проведення аукціонів.</w:t>
            </w:r>
          </w:p>
        </w:tc>
      </w:tr>
      <w:tr w:rsidR="00FE1E88" w:rsidRPr="00FE1E88" w14:paraId="174BD8DD" w14:textId="77777777">
        <w:trPr>
          <w:trHeight w:val="69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44B42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2:</w:t>
            </w:r>
          </w:p>
          <w:p w14:paraId="1E77E12B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прийняття проекту постанови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5FF51" w14:textId="77777777" w:rsidR="00696B67" w:rsidRPr="00FE1E88" w:rsidRDefault="002A0001">
            <w:pPr>
              <w:ind w:left="10" w:right="33"/>
              <w:jc w:val="both"/>
              <w:rPr>
                <w:sz w:val="28"/>
                <w:szCs w:val="28"/>
                <w:highlight w:val="white"/>
              </w:rPr>
            </w:pPr>
            <w:r w:rsidRPr="00FE1E88">
              <w:rPr>
                <w:sz w:val="28"/>
                <w:szCs w:val="28"/>
                <w:highlight w:val="white"/>
              </w:rPr>
              <w:t>Високі, оскільки продовження договорів оренди державного та комунального майна постачальниками електронних комунікаційних послуг не буде тривалим.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B852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Відсутні.</w:t>
            </w:r>
          </w:p>
        </w:tc>
      </w:tr>
    </w:tbl>
    <w:p w14:paraId="53CB5D2B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14:paraId="3BC20E04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E1E88">
        <w:rPr>
          <w:b/>
          <w:sz w:val="28"/>
          <w:szCs w:val="28"/>
        </w:rPr>
        <w:lastRenderedPageBreak/>
        <w:t>IV. Вибір найбільш оптимального альтернативного способу досягнення цілей</w:t>
      </w:r>
    </w:p>
    <w:p w14:paraId="1EA08FAA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FE1E88">
        <w:rPr>
          <w:sz w:val="28"/>
          <w:szCs w:val="28"/>
        </w:rPr>
        <w:t>Здійснення вибору оптимального альтернативного способу з урахуванням системи бальної оцінки ступеня досягнення визначених цілей.</w:t>
      </w:r>
    </w:p>
    <w:p w14:paraId="10B428EE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highlight w:val="white"/>
        </w:rPr>
      </w:pPr>
      <w:r w:rsidRPr="00FE1E88">
        <w:rPr>
          <w:sz w:val="28"/>
          <w:szCs w:val="28"/>
        </w:rPr>
        <w:t xml:space="preserve">Вартість </w:t>
      </w:r>
      <w:r w:rsidRPr="00FE1E88">
        <w:rPr>
          <w:sz w:val="28"/>
          <w:szCs w:val="28"/>
          <w:highlight w:val="white"/>
        </w:rPr>
        <w:t>балів визначається за чотирибальною системою оцінки ступеня досягнення визначених цілей, де:</w:t>
      </w:r>
    </w:p>
    <w:p w14:paraId="6A92E077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highlight w:val="white"/>
        </w:rPr>
      </w:pPr>
      <w:r w:rsidRPr="00FE1E88">
        <w:rPr>
          <w:sz w:val="28"/>
          <w:szCs w:val="28"/>
          <w:highlight w:val="white"/>
        </w:rPr>
        <w:t>1) цілі прийняття постанови, які не можуть бути досягнуті (проблема продовжує існувати);</w:t>
      </w:r>
    </w:p>
    <w:p w14:paraId="1FBA234D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highlight w:val="white"/>
        </w:rPr>
      </w:pPr>
      <w:r w:rsidRPr="00FE1E88">
        <w:rPr>
          <w:sz w:val="28"/>
          <w:szCs w:val="28"/>
          <w:highlight w:val="white"/>
        </w:rPr>
        <w:t>2) цілі прийняття постанови,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14:paraId="42E9144B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highlight w:val="white"/>
        </w:rPr>
      </w:pPr>
      <w:r w:rsidRPr="00FE1E88">
        <w:rPr>
          <w:sz w:val="28"/>
          <w:szCs w:val="28"/>
          <w:highlight w:val="white"/>
        </w:rPr>
        <w:t>3) цілі прийняття постанови, які можуть бути досягнуті майже  повною мірою (усі важливі аспекти проблеми існувати не будуть);</w:t>
      </w:r>
    </w:p>
    <w:p w14:paraId="02BC5A7D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highlight w:val="white"/>
        </w:rPr>
      </w:pPr>
      <w:r w:rsidRPr="00FE1E88">
        <w:rPr>
          <w:sz w:val="28"/>
          <w:szCs w:val="28"/>
          <w:highlight w:val="white"/>
        </w:rPr>
        <w:t>4) цілі прийняття постанови, які можуть бути досягнуті повною мірою (проблема більше існувати не буде).</w:t>
      </w:r>
    </w:p>
    <w:p w14:paraId="0EE82DB4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tbl>
      <w:tblPr>
        <w:tblStyle w:val="afffff0"/>
        <w:tblW w:w="9623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2820"/>
        <w:gridCol w:w="2700"/>
        <w:gridCol w:w="4103"/>
      </w:tblGrid>
      <w:tr w:rsidR="00FE1E88" w:rsidRPr="00FE1E88" w14:paraId="5ECC6472" w14:textId="77777777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E0005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27" w:right="-117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3C86A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Бал результативності</w:t>
            </w:r>
          </w:p>
          <w:p w14:paraId="70EC4313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(за чотирибальною системою оцінки)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356D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Коментарі щодо присвоєння відповідного бала</w:t>
            </w:r>
          </w:p>
        </w:tc>
      </w:tr>
      <w:tr w:rsidR="00FE1E88" w:rsidRPr="00FE1E88" w14:paraId="5F687BA9" w14:textId="77777777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65F0D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1:</w:t>
            </w:r>
          </w:p>
          <w:p w14:paraId="5AE9564E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0CD58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8F18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Проблема продовжить існувати.</w:t>
            </w:r>
          </w:p>
        </w:tc>
      </w:tr>
      <w:tr w:rsidR="00EC4439" w:rsidRPr="00FE1E88" w14:paraId="1FA2F7BD" w14:textId="77777777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CEA78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2:</w:t>
            </w:r>
          </w:p>
          <w:p w14:paraId="759BE2E5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прийняття проекту постанови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C5B35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3EF60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Зазначений спосіб дає змогу повною мірою досягнути цілей державного регулювання.</w:t>
            </w:r>
          </w:p>
        </w:tc>
      </w:tr>
    </w:tbl>
    <w:p w14:paraId="4A06DA89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24"/>
          <w:szCs w:val="24"/>
        </w:rPr>
      </w:pPr>
    </w:p>
    <w:tbl>
      <w:tblPr>
        <w:tblStyle w:val="afffff1"/>
        <w:tblW w:w="96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20"/>
        <w:gridCol w:w="2616"/>
        <w:gridCol w:w="2784"/>
        <w:gridCol w:w="2355"/>
      </w:tblGrid>
      <w:tr w:rsidR="00FE1E88" w:rsidRPr="00FE1E88" w14:paraId="63A70FB0" w14:textId="77777777">
        <w:trPr>
          <w:trHeight w:val="55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AA18D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-102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Рейтинг результативності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414A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Вигоди (підсумок)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98E06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Витрати (підсумок)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A435D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34"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Обґрунтування відповідного місця альтернативи у рейтингу</w:t>
            </w:r>
          </w:p>
        </w:tc>
      </w:tr>
      <w:tr w:rsidR="00FE1E88" w:rsidRPr="00FE1E88" w14:paraId="7C7594F6" w14:textId="77777777">
        <w:trPr>
          <w:trHeight w:val="85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1C907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1:</w:t>
            </w:r>
          </w:p>
          <w:p w14:paraId="1459CF36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F10E6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Відсутні.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82FEE" w14:textId="77777777" w:rsidR="00696B67" w:rsidRPr="00FE1E88" w:rsidRDefault="002A0001">
            <w:pPr>
              <w:jc w:val="center"/>
              <w:rPr>
                <w:b/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 xml:space="preserve">Витрати робочих годин працівників державних та комунальних підприємств, подальші фінансові витрати постачальників електронних комунікаційних послуг на супровід </w:t>
            </w:r>
            <w:r w:rsidRPr="00FE1E88">
              <w:rPr>
                <w:sz w:val="28"/>
                <w:szCs w:val="28"/>
              </w:rPr>
              <w:lastRenderedPageBreak/>
              <w:t>аукціонів для продовження договорів оренди державного та комунального майна.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9846" w14:textId="77777777" w:rsidR="00696B67" w:rsidRPr="00FE1E88" w:rsidRDefault="002A0001">
            <w:pPr>
              <w:ind w:left="34"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lastRenderedPageBreak/>
              <w:t>Альтернатива 1 не є оптимальною, оскільки не дає змоги досягти цілей державного регулювання.</w:t>
            </w:r>
          </w:p>
        </w:tc>
      </w:tr>
      <w:tr w:rsidR="00FE1E88" w:rsidRPr="00FE1E88" w14:paraId="5FBF1508" w14:textId="77777777">
        <w:trPr>
          <w:trHeight w:val="85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91E9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2:</w:t>
            </w:r>
          </w:p>
          <w:p w14:paraId="534A6AE4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прийняття проекту постанови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37F19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firstLine="105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Створюються правові підстави для своєчасного продовження договорів оренди державного та комунального майна постачальниками електронних комунікаційних послуг.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FCCDA" w14:textId="77777777" w:rsidR="00696B67" w:rsidRPr="00FE1E88" w:rsidRDefault="002A0001">
            <w:pPr>
              <w:ind w:left="34"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Відсутні.</w:t>
            </w:r>
          </w:p>
          <w:p w14:paraId="5642C12D" w14:textId="77777777" w:rsidR="00696B67" w:rsidRPr="00FE1E88" w:rsidRDefault="00696B67">
            <w:pPr>
              <w:ind w:left="-284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D076" w14:textId="77777777" w:rsidR="00696B67" w:rsidRPr="00FE1E88" w:rsidRDefault="002A0001">
            <w:pPr>
              <w:ind w:left="34" w:right="140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2 є оптимальною, оскільки дає змогу досягти цілей державного регулювання.</w:t>
            </w:r>
          </w:p>
        </w:tc>
      </w:tr>
    </w:tbl>
    <w:p w14:paraId="4096CFC3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24"/>
          <w:szCs w:val="24"/>
        </w:rPr>
      </w:pPr>
    </w:p>
    <w:tbl>
      <w:tblPr>
        <w:tblStyle w:val="afffff2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36"/>
        <w:gridCol w:w="3840"/>
        <w:gridCol w:w="3563"/>
      </w:tblGrid>
      <w:tr w:rsidR="00FE1E88" w:rsidRPr="00FE1E88" w14:paraId="3BE0D207" w14:textId="77777777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D4F57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Рейтинг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9C533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1476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FE1E88" w:rsidRPr="00FE1E88" w14:paraId="0F30F2EE" w14:textId="77777777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6243F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1:</w:t>
            </w:r>
          </w:p>
          <w:p w14:paraId="2A09463A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залишити регулювання без змін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E188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Неприйнятна, оскільки постачальники електронних комунікаційних послуг не зможуть оперативно продовжувати договірні відносини із балансоутримувачами державного та комунального майна.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FCAB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Очікується реальний вплив зовнішніх факторів та зайві фінансови витрати суб’єктів господарювання на розміщення технічних засобів електронних комунікацій.</w:t>
            </w:r>
          </w:p>
        </w:tc>
      </w:tr>
      <w:tr w:rsidR="00FE1E88" w:rsidRPr="00FE1E88" w14:paraId="1BDCBF83" w14:textId="77777777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60E3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Альтернатива 2:</w:t>
            </w:r>
          </w:p>
          <w:p w14:paraId="4B65C8CB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прийняття проекту постанови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4F5E8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Забезпечить повною мірою досягнення поставленої цілі.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76CE" w14:textId="77777777" w:rsidR="00696B67" w:rsidRPr="00FE1E88" w:rsidRDefault="002A0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8"/>
                <w:szCs w:val="28"/>
              </w:rPr>
            </w:pPr>
            <w:r w:rsidRPr="00FE1E88">
              <w:rPr>
                <w:sz w:val="28"/>
                <w:szCs w:val="28"/>
              </w:rPr>
              <w:t>Цей спосіб повною мірою відповідає вимогам законодавства України.</w:t>
            </w:r>
          </w:p>
        </w:tc>
      </w:tr>
    </w:tbl>
    <w:p w14:paraId="7EABD609" w14:textId="77777777" w:rsidR="00696B67" w:rsidRPr="00FE1E88" w:rsidRDefault="00696B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b/>
          <w:sz w:val="28"/>
          <w:szCs w:val="28"/>
        </w:rPr>
      </w:pPr>
    </w:p>
    <w:p w14:paraId="213F021F" w14:textId="77777777" w:rsidR="00696B67" w:rsidRPr="00FE1E88" w:rsidRDefault="002A00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sz w:val="24"/>
          <w:szCs w:val="24"/>
        </w:rPr>
      </w:pPr>
      <w:r w:rsidRPr="00FE1E88">
        <w:rPr>
          <w:b/>
          <w:sz w:val="28"/>
          <w:szCs w:val="28"/>
        </w:rPr>
        <w:t>V. Механізми та заходи, які забезпечать розв’язання визначеної проблеми</w:t>
      </w:r>
    </w:p>
    <w:p w14:paraId="094113A4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FE1E88">
        <w:rPr>
          <w:sz w:val="28"/>
          <w:szCs w:val="28"/>
          <w:highlight w:val="white"/>
        </w:rPr>
        <w:t>Механізмом регулювання, за допомогою якого передбачається розв’язати проблему, є прийняття постанови, якою буде</w:t>
      </w:r>
      <w:r w:rsidRPr="00FE1E88">
        <w:rPr>
          <w:sz w:val="28"/>
          <w:szCs w:val="28"/>
        </w:rPr>
        <w:t xml:space="preserve"> внесено зміну у додаток 4 до Порядку передачі в оренду державного та комунального майна, затвердженого </w:t>
      </w:r>
      <w:r w:rsidRPr="00FE1E88">
        <w:rPr>
          <w:sz w:val="28"/>
          <w:szCs w:val="28"/>
          <w:highlight w:val="white"/>
        </w:rPr>
        <w:t>постановою Кабінету Міністрів України від 03.06.2020 № 483</w:t>
      </w:r>
      <w:r w:rsidRPr="00FE1E88">
        <w:rPr>
          <w:sz w:val="28"/>
          <w:szCs w:val="28"/>
        </w:rPr>
        <w:t xml:space="preserve">, з метою включення постачальників електронних комунікаційних послуг, для розміщення технічних засобів  електронних комунікацій, до переліку підприємств, установ, </w:t>
      </w:r>
      <w:r w:rsidRPr="00FE1E88">
        <w:rPr>
          <w:sz w:val="28"/>
          <w:szCs w:val="28"/>
        </w:rPr>
        <w:lastRenderedPageBreak/>
        <w:t>організацій, що надають соціально важливі послуги населенню, що надасть можливість продовжувати договори оренди державного та комунального майна без аукціонів.</w:t>
      </w:r>
    </w:p>
    <w:p w14:paraId="209B2CC8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Запровадження регуляторного акта надасть змогу забезпечити більш стабільну роботу мобільного зв’язку та Інтернету на території України.</w:t>
      </w:r>
    </w:p>
    <w:p w14:paraId="7C11C2F4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Враховуючи викладене, ступінь ефективності основних принципів і способів досягнення цілей оцінюється як високий.</w:t>
      </w:r>
    </w:p>
    <w:p w14:paraId="507103B9" w14:textId="77777777" w:rsidR="00696B67" w:rsidRPr="00FE1E88" w:rsidRDefault="00696B67">
      <w:pPr>
        <w:shd w:val="clear" w:color="auto" w:fill="FFFFFF"/>
        <w:jc w:val="both"/>
        <w:rPr>
          <w:sz w:val="28"/>
          <w:szCs w:val="28"/>
        </w:rPr>
      </w:pPr>
    </w:p>
    <w:p w14:paraId="1AA8BE6E" w14:textId="77777777" w:rsidR="00696B67" w:rsidRPr="00FE1E88" w:rsidRDefault="00696B6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569E3CDB" w14:textId="77777777" w:rsidR="00696B67" w:rsidRPr="00FE1E88" w:rsidRDefault="002A000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E1E88">
        <w:rPr>
          <w:b/>
          <w:sz w:val="28"/>
          <w:szCs w:val="28"/>
        </w:rPr>
        <w:t>VІ.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14:paraId="0F916E8F" w14:textId="206666FD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Витрат на виконання вимог регуляторного акта для органів виконавчої влади не передбачаються. Розрахунок витрат для суб’єктів підприємництва, а також тест малого підприємництва (М-Тест) проводився відповідно до Методики проведення аналізу впливу регуляторного акта, затвердженої постановою Кабінету Міністрів України від 11.03.2004 № 308 «Про затвердження методик проведення аналізу впливу та відстеження результативності регуляторного акта»</w:t>
      </w:r>
      <w:r w:rsidR="000437A0" w:rsidRPr="00FE1E88">
        <w:rPr>
          <w:sz w:val="28"/>
          <w:szCs w:val="28"/>
        </w:rPr>
        <w:t>,</w:t>
      </w:r>
      <w:r w:rsidRPr="00FE1E88">
        <w:rPr>
          <w:sz w:val="28"/>
          <w:szCs w:val="28"/>
        </w:rPr>
        <w:t xml:space="preserve"> та наведений у додатку до аналізу регуляторного впливу.</w:t>
      </w:r>
    </w:p>
    <w:p w14:paraId="594B24FC" w14:textId="77777777" w:rsidR="00696B67" w:rsidRPr="00FE1E88" w:rsidRDefault="00696B67">
      <w:pPr>
        <w:shd w:val="clear" w:color="auto" w:fill="FFFFFF"/>
        <w:ind w:firstLine="566"/>
        <w:jc w:val="both"/>
        <w:rPr>
          <w:sz w:val="28"/>
          <w:szCs w:val="28"/>
        </w:rPr>
      </w:pPr>
    </w:p>
    <w:p w14:paraId="32D6CADD" w14:textId="77777777" w:rsidR="00696B67" w:rsidRPr="00FE1E88" w:rsidRDefault="002A0001">
      <w:pPr>
        <w:shd w:val="clear" w:color="auto" w:fill="FFFFFF"/>
        <w:ind w:firstLine="709"/>
        <w:jc w:val="both"/>
        <w:rPr>
          <w:sz w:val="24"/>
          <w:szCs w:val="24"/>
        </w:rPr>
      </w:pPr>
      <w:r w:rsidRPr="00FE1E88">
        <w:rPr>
          <w:b/>
          <w:sz w:val="28"/>
          <w:szCs w:val="28"/>
        </w:rPr>
        <w:t>VІІ. Обґрунтування запропонованого строку дії регуляторного акта</w:t>
      </w:r>
    </w:p>
    <w:p w14:paraId="753148AA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 xml:space="preserve">Строк дії регуляторного акта не обмежений у часі, що дасть змогу досягти цілей державного регулювання повною мірою. </w:t>
      </w:r>
    </w:p>
    <w:p w14:paraId="7EBD8D6D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Проект регуляторного акта набирає чинності відповідно до законодавства з дня його офіційного опублікування.</w:t>
      </w:r>
    </w:p>
    <w:p w14:paraId="48E78F8D" w14:textId="77777777" w:rsidR="00696B67" w:rsidRPr="00FE1E88" w:rsidRDefault="00696B67">
      <w:pPr>
        <w:shd w:val="clear" w:color="auto" w:fill="FFFFFF"/>
        <w:ind w:firstLine="566"/>
        <w:jc w:val="both"/>
        <w:rPr>
          <w:sz w:val="28"/>
          <w:szCs w:val="28"/>
        </w:rPr>
      </w:pPr>
    </w:p>
    <w:p w14:paraId="767ADEEC" w14:textId="77777777" w:rsidR="00696B67" w:rsidRPr="00FE1E88" w:rsidRDefault="002A0001">
      <w:pPr>
        <w:shd w:val="clear" w:color="auto" w:fill="FFFFFF"/>
        <w:ind w:firstLine="709"/>
        <w:jc w:val="both"/>
        <w:rPr>
          <w:sz w:val="24"/>
          <w:szCs w:val="24"/>
        </w:rPr>
      </w:pPr>
      <w:r w:rsidRPr="00FE1E88">
        <w:rPr>
          <w:b/>
          <w:sz w:val="28"/>
          <w:szCs w:val="28"/>
        </w:rPr>
        <w:t>VІІІ. Визначення показників результативності регуляторного акта</w:t>
      </w:r>
    </w:p>
    <w:p w14:paraId="62C7079B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 xml:space="preserve">Основними показниками результативності регуляторного акта є зменшення строків продовження договорів оренди державного та комунального майна постачальниками електронних комунікаційних послуг для розміщення на них технічних засобів електронних комунікацій. Це забезпечить безумовне виконання </w:t>
      </w:r>
      <w:r w:rsidRPr="00FE1E88">
        <w:rPr>
          <w:sz w:val="28"/>
          <w:szCs w:val="28"/>
          <w:highlight w:val="white"/>
        </w:rPr>
        <w:t xml:space="preserve">цілей </w:t>
      </w:r>
      <w:r w:rsidRPr="00FE1E88">
        <w:rPr>
          <w:sz w:val="28"/>
          <w:szCs w:val="28"/>
        </w:rPr>
        <w:t>підпункту 2.2 пункту 2 розділу «Довгострокові пріоритети діяльності Уряду» Програми діяльності Кабінету Міністрів України, затвердженої постановою Кабінету Міністрів України від 12.06.2020 № 471, щодо розвитку мережі доступу до фіксованого, мобільного Інтернету та мобільного зв’язку.</w:t>
      </w:r>
    </w:p>
    <w:p w14:paraId="087BB987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Розмір надходжень до державного та місцевих бюджетів і державних цільових фондів, пов'язаних з дією акта – надходження зростатимуть у зв’язку із спрощенням процедури продовження договорів оренди, що сприятиме укладанню більшої кількості таких договорів.</w:t>
      </w:r>
    </w:p>
    <w:p w14:paraId="0D8918F5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 w:rsidRPr="00FE1E88">
        <w:rPr>
          <w:sz w:val="28"/>
          <w:szCs w:val="28"/>
        </w:rPr>
        <w:t>Кількість суб'єктів господарювання та/або фізичних ос</w:t>
      </w:r>
      <w:r w:rsidRPr="00FE1E88">
        <w:rPr>
          <w:sz w:val="28"/>
          <w:szCs w:val="28"/>
          <w:highlight w:val="white"/>
        </w:rPr>
        <w:t>іб, на яких поширюватиметься дія акта – 4837 операторів, провайдерів телекомунікацій на українському ринку.</w:t>
      </w:r>
    </w:p>
    <w:p w14:paraId="5F8F2939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lastRenderedPageBreak/>
        <w:t>Розмір коштів і час, що</w:t>
      </w:r>
      <w:r w:rsidRPr="00FE1E88">
        <w:rPr>
          <w:b/>
          <w:sz w:val="28"/>
          <w:szCs w:val="28"/>
        </w:rPr>
        <w:t xml:space="preserve"> </w:t>
      </w:r>
      <w:r w:rsidRPr="00FE1E88">
        <w:rPr>
          <w:sz w:val="28"/>
          <w:szCs w:val="28"/>
        </w:rPr>
        <w:t>витрачатимуться у зв’язку з виконанням вимог регуляторного акта: прийняття проекту постанови не потребує фінансових витрат.</w:t>
      </w:r>
    </w:p>
    <w:p w14:paraId="122D4EB8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Рівень поінформованості оцінюється як високий, оскільки оператори, провайдери телекомунікацій будуть проінформовані про основні положення регуляторного акта шляхом розміщення його на офіційному веб-сайті Міністерства цифрової трансформації України.</w:t>
      </w:r>
    </w:p>
    <w:p w14:paraId="6F31A89B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Кількість звернень щодо проблемних питань стосовно довготривалого переоформлення договорів оренди – зменшиться.</w:t>
      </w:r>
    </w:p>
    <w:p w14:paraId="5F1E3240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Кількість переукладених договорів оренди державного та комунального майна для розміщення технічних засобів електронних комунікацій – збільшиться.</w:t>
      </w:r>
    </w:p>
    <w:p w14:paraId="247AA97A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Стабільність покриття фіксованого Інтернету та мережі 4G – збільшиться.</w:t>
      </w:r>
    </w:p>
    <w:p w14:paraId="10C47A33" w14:textId="77777777" w:rsidR="00696B67" w:rsidRPr="00FE1E88" w:rsidRDefault="00696B67">
      <w:pPr>
        <w:shd w:val="clear" w:color="auto" w:fill="FFFFFF"/>
        <w:ind w:firstLine="566"/>
        <w:jc w:val="both"/>
        <w:rPr>
          <w:sz w:val="28"/>
          <w:szCs w:val="28"/>
        </w:rPr>
      </w:pPr>
    </w:p>
    <w:p w14:paraId="5C90B7F0" w14:textId="77777777" w:rsidR="00696B67" w:rsidRPr="00FE1E88" w:rsidRDefault="002A0001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E1E88">
        <w:rPr>
          <w:b/>
          <w:sz w:val="28"/>
          <w:szCs w:val="28"/>
        </w:rPr>
        <w:t>ІХ.</w:t>
      </w:r>
      <w:r w:rsidRPr="00FE1E88">
        <w:rPr>
          <w:b/>
          <w:sz w:val="28"/>
          <w:szCs w:val="28"/>
        </w:rPr>
        <w:tab/>
        <w:t>Визначення заходів, за допомогою яких здійснюватиметься відстеження результативності дії регуляторного акта</w:t>
      </w:r>
    </w:p>
    <w:p w14:paraId="36ED61FB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Відповідно до законодавства здійснюється базове, повторне та періодичне відстеження результативності регуляторного акта у строки, встановлені статтею 10 Закону України «Про засади державної регуляторної політики у сфері господарської діяльності».</w:t>
      </w:r>
    </w:p>
    <w:p w14:paraId="4BD4B452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Базове відстеження результативності постанови буде здійснюватися після набрання нею чинності, оскільки планується використовувати статистичний метод відстеження та статистичні дані.</w:t>
      </w:r>
    </w:p>
    <w:p w14:paraId="3A169B56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Повторне відстеження планується здійснити через рік після набрання чинності регуляторним актом.</w:t>
      </w:r>
    </w:p>
    <w:p w14:paraId="1051FB27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Періодичне відстеження здійснюватиметься раз на три роки, починаючи з дня виконання заходів з повторного відстеження результативності цього акта.</w:t>
      </w:r>
    </w:p>
    <w:p w14:paraId="341CB088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6" w:name="_heading=h.1fob9te" w:colFirst="0" w:colLast="0"/>
      <w:bookmarkEnd w:id="6"/>
      <w:r w:rsidRPr="00FE1E88">
        <w:rPr>
          <w:sz w:val="28"/>
          <w:szCs w:val="28"/>
        </w:rPr>
        <w:t>Джерело даних: статистичні дані, отримані від постачальників електронних комунікаційних послуг та Фонду державного майна України.</w:t>
      </w:r>
    </w:p>
    <w:p w14:paraId="4BAD0F12" w14:textId="77777777" w:rsidR="00696B67" w:rsidRPr="00FE1E88" w:rsidRDefault="002A0001">
      <w:pPr>
        <w:shd w:val="clear" w:color="auto" w:fill="FFFFFF"/>
        <w:ind w:firstLine="709"/>
        <w:jc w:val="both"/>
        <w:rPr>
          <w:sz w:val="28"/>
          <w:szCs w:val="28"/>
        </w:rPr>
      </w:pPr>
      <w:r w:rsidRPr="00FE1E88">
        <w:rPr>
          <w:sz w:val="28"/>
          <w:szCs w:val="28"/>
        </w:rPr>
        <w:t>Виконавець заходів з відстеження результативності регуляторного акта –  Міністерство цифрової трансформації України.</w:t>
      </w:r>
    </w:p>
    <w:p w14:paraId="4928122F" w14:textId="77777777" w:rsidR="00696B67" w:rsidRPr="00FE1E88" w:rsidRDefault="00696B67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214E7D74" w14:textId="77777777" w:rsidR="00696B67" w:rsidRPr="00FE1E88" w:rsidRDefault="00696B67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B2F7F97" w14:textId="77777777" w:rsidR="00696B67" w:rsidRPr="00FE1E88" w:rsidRDefault="002A0001">
      <w:pPr>
        <w:shd w:val="clear" w:color="auto" w:fill="FFFFFF"/>
        <w:jc w:val="both"/>
        <w:rPr>
          <w:sz w:val="24"/>
          <w:szCs w:val="24"/>
        </w:rPr>
      </w:pPr>
      <w:bookmarkStart w:id="7" w:name="_heading=h.tyjcwt" w:colFirst="0" w:colLast="0"/>
      <w:bookmarkEnd w:id="7"/>
      <w:r w:rsidRPr="00FE1E88">
        <w:rPr>
          <w:b/>
          <w:sz w:val="28"/>
          <w:szCs w:val="28"/>
        </w:rPr>
        <w:t>Віце-прем'єр-міністр України – Міністр</w:t>
      </w:r>
    </w:p>
    <w:p w14:paraId="483EA364" w14:textId="77777777" w:rsidR="00696B67" w:rsidRPr="00FE1E88" w:rsidRDefault="002A0001">
      <w:pPr>
        <w:shd w:val="clear" w:color="auto" w:fill="FFFFFF"/>
        <w:jc w:val="both"/>
        <w:rPr>
          <w:b/>
          <w:sz w:val="28"/>
          <w:szCs w:val="28"/>
        </w:rPr>
      </w:pPr>
      <w:r w:rsidRPr="00FE1E88">
        <w:rPr>
          <w:b/>
          <w:sz w:val="28"/>
          <w:szCs w:val="28"/>
        </w:rPr>
        <w:t>цифрової трансформації України</w:t>
      </w:r>
      <w:r w:rsidRPr="00FE1E88">
        <w:rPr>
          <w:b/>
          <w:sz w:val="28"/>
          <w:szCs w:val="28"/>
        </w:rPr>
        <w:tab/>
      </w:r>
      <w:r w:rsidRPr="00FE1E88">
        <w:rPr>
          <w:b/>
          <w:sz w:val="28"/>
          <w:szCs w:val="28"/>
        </w:rPr>
        <w:tab/>
      </w:r>
      <w:r w:rsidRPr="00FE1E88">
        <w:rPr>
          <w:b/>
          <w:sz w:val="28"/>
          <w:szCs w:val="28"/>
        </w:rPr>
        <w:tab/>
      </w:r>
      <w:r w:rsidRPr="00FE1E88">
        <w:rPr>
          <w:b/>
          <w:sz w:val="28"/>
          <w:szCs w:val="28"/>
        </w:rPr>
        <w:tab/>
        <w:t>      Михайло ФЕДОРОВ</w:t>
      </w:r>
    </w:p>
    <w:p w14:paraId="260EFD82" w14:textId="77777777" w:rsidR="00696B67" w:rsidRPr="00FE1E88" w:rsidRDefault="00696B67">
      <w:pPr>
        <w:tabs>
          <w:tab w:val="left" w:pos="-142"/>
          <w:tab w:val="left" w:pos="851"/>
        </w:tabs>
        <w:jc w:val="both"/>
        <w:rPr>
          <w:sz w:val="28"/>
          <w:szCs w:val="28"/>
        </w:rPr>
      </w:pPr>
    </w:p>
    <w:p w14:paraId="28203753" w14:textId="77777777" w:rsidR="00696B67" w:rsidRPr="00FE1E88" w:rsidRDefault="002A0001">
      <w:pPr>
        <w:tabs>
          <w:tab w:val="left" w:pos="-142"/>
          <w:tab w:val="left" w:pos="851"/>
        </w:tabs>
        <w:jc w:val="both"/>
      </w:pPr>
      <w:bookmarkStart w:id="8" w:name="_heading=h.3dy6vkm" w:colFirst="0" w:colLast="0"/>
      <w:bookmarkEnd w:id="8"/>
      <w:r w:rsidRPr="00FE1E88">
        <w:rPr>
          <w:sz w:val="28"/>
          <w:szCs w:val="28"/>
        </w:rPr>
        <w:t>«____» ____________ 2022 року</w:t>
      </w:r>
    </w:p>
    <w:sectPr w:rsidR="00696B67" w:rsidRPr="00FE1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418" w:left="1700" w:header="426" w:footer="30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A973F" w14:textId="77777777" w:rsidR="009A0DAB" w:rsidRDefault="009A0DAB">
      <w:r>
        <w:separator/>
      </w:r>
    </w:p>
  </w:endnote>
  <w:endnote w:type="continuationSeparator" w:id="0">
    <w:p w14:paraId="757CC4F4" w14:textId="77777777" w:rsidR="009A0DAB" w:rsidRDefault="009A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8E461" w14:textId="77777777" w:rsidR="00696B67" w:rsidRDefault="00696B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B78F1" w14:textId="77777777" w:rsidR="00696B67" w:rsidRDefault="00696B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CAF14" w14:textId="77777777" w:rsidR="00696B67" w:rsidRDefault="00696B67"/>
  <w:p w14:paraId="3C857399" w14:textId="77777777" w:rsidR="00696B67" w:rsidRDefault="00696B67"/>
  <w:p w14:paraId="66B08C8C" w14:textId="77777777" w:rsidR="00696B67" w:rsidRDefault="00696B67"/>
  <w:p w14:paraId="1E0CBA24" w14:textId="77777777" w:rsidR="00696B67" w:rsidRDefault="00696B67"/>
  <w:p w14:paraId="694DC467" w14:textId="77777777" w:rsidR="00696B67" w:rsidRDefault="00696B67"/>
  <w:p w14:paraId="67748EA3" w14:textId="77777777" w:rsidR="00696B67" w:rsidRDefault="00696B67"/>
  <w:p w14:paraId="7D9100A4" w14:textId="77777777" w:rsidR="00696B67" w:rsidRDefault="00696B67"/>
  <w:p w14:paraId="3ED29654" w14:textId="77777777" w:rsidR="00696B67" w:rsidRDefault="00696B67"/>
  <w:p w14:paraId="2FDDED02" w14:textId="77777777" w:rsidR="00696B67" w:rsidRDefault="00696B67"/>
  <w:p w14:paraId="6FDA2D0E" w14:textId="77777777" w:rsidR="00696B67" w:rsidRDefault="00696B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F3ECE" w14:textId="77777777" w:rsidR="009A0DAB" w:rsidRDefault="009A0DAB">
      <w:r>
        <w:separator/>
      </w:r>
    </w:p>
  </w:footnote>
  <w:footnote w:type="continuationSeparator" w:id="0">
    <w:p w14:paraId="228C86CB" w14:textId="77777777" w:rsidR="009A0DAB" w:rsidRDefault="009A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0987E" w14:textId="77777777" w:rsidR="00696B67" w:rsidRDefault="00696B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4A1D5" w14:textId="77777777" w:rsidR="00696B67" w:rsidRDefault="002A00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0437A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AE86D" w14:textId="77777777" w:rsidR="00696B67" w:rsidRDefault="00696B6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B45EA"/>
    <w:multiLevelType w:val="multilevel"/>
    <w:tmpl w:val="E7AC41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67"/>
    <w:rsid w:val="000437A0"/>
    <w:rsid w:val="002A0001"/>
    <w:rsid w:val="00435756"/>
    <w:rsid w:val="00543D23"/>
    <w:rsid w:val="00696B67"/>
    <w:rsid w:val="00942573"/>
    <w:rsid w:val="009A0DAB"/>
    <w:rsid w:val="009F004D"/>
    <w:rsid w:val="00EC4439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28D4"/>
  <w15:docId w15:val="{B4C083C7-43AA-4FCA-99E1-24D104F4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65"/>
  </w:style>
  <w:style w:type="paragraph" w:styleId="1">
    <w:name w:val="heading 1"/>
    <w:basedOn w:val="a"/>
    <w:next w:val="a"/>
    <w:uiPriority w:val="9"/>
    <w:qFormat/>
    <w:rsid w:val="00F309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30965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F30965"/>
    <w:pPr>
      <w:keepNext/>
      <w:widowControl/>
      <w:ind w:left="-108" w:right="-108"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F309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309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3096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3096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309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309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F309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F309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F309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F309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F3DB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3DB6"/>
    <w:rPr>
      <w:rFonts w:ascii="Segoe UI" w:hAnsi="Segoe UI" w:cs="Segoe UI"/>
      <w:sz w:val="18"/>
      <w:szCs w:val="18"/>
    </w:rPr>
  </w:style>
  <w:style w:type="table" w:customStyle="1" w:styleId="af0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6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2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rsid w:val="00F3096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d">
    <w:name w:val="header"/>
    <w:basedOn w:val="a"/>
    <w:link w:val="afffe"/>
    <w:uiPriority w:val="99"/>
    <w:unhideWhenUsed/>
    <w:rsid w:val="001431D6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1431D6"/>
  </w:style>
  <w:style w:type="paragraph" w:styleId="affff">
    <w:name w:val="footer"/>
    <w:basedOn w:val="a"/>
    <w:link w:val="affff0"/>
    <w:uiPriority w:val="99"/>
    <w:unhideWhenUsed/>
    <w:rsid w:val="001431D6"/>
    <w:pPr>
      <w:tabs>
        <w:tab w:val="center" w:pos="4677"/>
        <w:tab w:val="right" w:pos="9355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1431D6"/>
  </w:style>
  <w:style w:type="table" w:customStyle="1" w:styleId="a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BdDv2kWr3y45UoZ549itL3ui7Q==">AMUW2mXx7QYNzCAnaau6rVRVBAKIUKUwEdcc6v7fAvTIpcyDV5afMdgNFROAxa8b+tXexcB7Lhici+QCxKI/VuRZgj/BEC3+yjdJ5SVGsit9je5NVwiOECT/5uBSUBthqAOyNaKeIfPepSrtzigY8zzH7gFtUv8eybWV826/1lKDY4jR6GJ0XjgmN1nkURHHLGhD5DDiMZnSGGpn80HCgTXXf9SJf5fv8Q0H+KjIN1r8W3trKGw0uIn7oxzD3ADQKH0jKYTIFTUaHdBUAZE8ThBOeCXZRjnxJirLLkg5eGFnD2wkl79Yd/Oh6JY1bpgBVkrMIMzF7s6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2341</Words>
  <Characters>13346</Characters>
  <Application>Microsoft Office Word</Application>
  <DocSecurity>0</DocSecurity>
  <Lines>111</Lines>
  <Paragraphs>31</Paragraphs>
  <ScaleCrop>false</ScaleCrop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OnePiece</cp:lastModifiedBy>
  <cp:revision>8</cp:revision>
  <dcterms:created xsi:type="dcterms:W3CDTF">2021-12-06T09:48:00Z</dcterms:created>
  <dcterms:modified xsi:type="dcterms:W3CDTF">2022-02-11T13:48:00Z</dcterms:modified>
</cp:coreProperties>
</file>