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F1A1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612B60E3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постанови Кабінету Міністрів України</w:t>
      </w:r>
    </w:p>
    <w:p w14:paraId="5830D588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«Деякі питання </w:t>
      </w:r>
      <w:bookmarkStart w:id="2" w:name="_Hlk147871536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комплексної передачі електронних копій документів, окремої інформації (відомостей, даних), що в них міститься,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електронних послуг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7C9FEA" w14:textId="77777777" w:rsidR="005456B2" w:rsidRDefault="005456B2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0FC839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 Мета</w:t>
      </w:r>
    </w:p>
    <w:p w14:paraId="248101FC" w14:textId="6893BA51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постанови Кабінету Міністрів України </w:t>
      </w:r>
      <w:bookmarkStart w:id="4" w:name="bookmark=kix.qe0jsdxkx8hj" w:colFirst="0" w:colLast="0"/>
      <w:bookmarkEnd w:id="4"/>
      <w:r w:rsidR="006A1478" w:rsidRPr="006A14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6714" w:rsidRPr="00856714">
        <w:rPr>
          <w:rFonts w:ascii="Times New Roman" w:eastAsia="Times New Roman" w:hAnsi="Times New Roman" w:cs="Times New Roman"/>
          <w:sz w:val="28"/>
          <w:szCs w:val="28"/>
        </w:rPr>
        <w:t xml:space="preserve">Деякі питання комплексної передачі електронних копій документів, окремої інформації (відомостей, даних), що в них міститься, засобами Єдиного державного </w:t>
      </w:r>
      <w:proofErr w:type="spellStart"/>
      <w:r w:rsidR="00856714" w:rsidRPr="00856714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="00856714" w:rsidRPr="00856714"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</w:t>
      </w:r>
      <w:r w:rsidR="006A1478" w:rsidRPr="006A147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–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розроблено з метою врегулювання </w:t>
      </w:r>
      <w:r w:rsidR="006A1478" w:rsidRPr="006A1478">
        <w:rPr>
          <w:rFonts w:ascii="Times New Roman" w:eastAsia="Times New Roman" w:hAnsi="Times New Roman" w:cs="Times New Roman"/>
          <w:sz w:val="28"/>
          <w:szCs w:val="28"/>
        </w:rPr>
        <w:t xml:space="preserve">комплексної передачі електронних копій документів, окремої інформації (відомостей, даних), що в них міститься, засобами Єдиного державного </w:t>
      </w:r>
      <w:proofErr w:type="spellStart"/>
      <w:r w:rsidR="006A1478" w:rsidRPr="006A1478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="006A1478" w:rsidRPr="006A1478"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– Портал Дія), суб’єктами, визначеними проектом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35DAC5" w14:textId="77777777" w:rsidR="005456B2" w:rsidRDefault="00545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67037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 Обґрунтування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74DBADBE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з військовою агресією російської федерації проти України, відповідно до Указу Президента України від 24 лютого 2022 р. № 64 «Про введення воєнного стану в Україні» з відповідними змінами, в Україні з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05 години 30 хвилин 24 лютого 2022 року введено воєнний стан, що викликає необхідність вжиття відповідних заходів, зокрема в частині подачі або пред’явлення документів, їх копій, в електронній формі, зокрема тих, що посвідчують особу або надають певний статус, з огляду на те, що паперові документи можуть бути втрачені.</w:t>
      </w:r>
    </w:p>
    <w:p w14:paraId="2AA541F8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Варто зазначити, що на сьогодні пунктом 5 Положення про Єдиний державний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вебпортал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послуг, затвердженого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постановою Кабінету Міністрів України від 4 грудня 2019 р. № 1137 (в редакції постанови Кабінету Міністрів України </w:t>
      </w:r>
      <w:hyperlink r:id="rId8" w:anchor="n12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від 16 серпня 2022 р. № 937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передбачено, що до основних завдань Порталу Дія належать, зокрема: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формування засобами Порталу Дія електронних відображень інформації, що міститься в документах, які можуть пред’являтися (надаватися) особою через мобільний додаток Порталу Дія (Дія), та відображення іншої інформації про особу, що може бути отримана з національних електронних інформаційних ресурсів, інших інформаційно-комунікаційних систем, єдиних інформаційних систем та систем електронного документообігу; формування та передача засобами Порталу Дія до інших інформаційно-комунікаційних систем за бажанням особи електронної копії електронного відображення інформації, що міститься в документах; формування та передача засобами Порталу Дія до інших інформаційно-комунікаційних систем за бажанням особи електронної копії електронного відображення інформації, що міститься в документах; формування засобами Порталу Дія, зокрема з використанням мобільного додатка Порталу Дія (Дія), за бажанням особи електронної копії електронного відображення інформації,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що міститься в документах, для подальшої можливості її передачі електронною поштою.</w:t>
      </w:r>
    </w:p>
    <w:p w14:paraId="0C9A132C" w14:textId="2125A503" w:rsidR="00EF096C" w:rsidRPr="00EF096C" w:rsidRDefault="00EE154D" w:rsidP="00EF096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35C55">
        <w:rPr>
          <w:rFonts w:ascii="Times New Roman" w:eastAsia="Gungsuh" w:hAnsi="Times New Roman" w:cs="Times New Roman"/>
          <w:sz w:val="28"/>
          <w:szCs w:val="28"/>
        </w:rPr>
        <w:t xml:space="preserve">Також, </w:t>
      </w:r>
      <w:proofErr w:type="spellStart"/>
      <w:r w:rsidRPr="00535C55">
        <w:rPr>
          <w:rFonts w:ascii="Times New Roman" w:eastAsia="Gungsuh" w:hAnsi="Times New Roman" w:cs="Times New Roman"/>
          <w:sz w:val="28"/>
          <w:szCs w:val="28"/>
        </w:rPr>
        <w:t>Мінцифри</w:t>
      </w:r>
      <w:proofErr w:type="spellEnd"/>
      <w:r w:rsidRPr="00535C55">
        <w:rPr>
          <w:rFonts w:ascii="Times New Roman" w:eastAsia="Gungsuh" w:hAnsi="Times New Roman" w:cs="Times New Roman"/>
          <w:sz w:val="28"/>
          <w:szCs w:val="28"/>
        </w:rPr>
        <w:t xml:space="preserve"> отримано лист Національного банку України від 20.</w:t>
      </w:r>
      <w:r w:rsidR="00EF096C" w:rsidRPr="00535C55">
        <w:rPr>
          <w:rFonts w:ascii="Times New Roman" w:eastAsia="Times New Roman" w:hAnsi="Times New Roman" w:cs="Times New Roman"/>
          <w:sz w:val="28"/>
          <w:szCs w:val="28"/>
        </w:rPr>
        <w:t xml:space="preserve">06.2023 № 11-0008/43960 щодо потреби банків та інших учасників фінансового </w:t>
      </w:r>
      <w:r w:rsidR="00EF096C" w:rsidRPr="00EF09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ринку щодо отримання інформації з інформаційно-комунікаційних систем, реєстрів, </w:t>
      </w:r>
      <w:r w:rsidR="00EF096C" w:rsidRPr="00EF096C">
        <w:rPr>
          <w:rFonts w:ascii="Times New Roman" w:eastAsia="Times New Roman" w:hAnsi="Times New Roman" w:cs="Times New Roman"/>
          <w:sz w:val="28"/>
          <w:szCs w:val="28"/>
        </w:rPr>
        <w:t>в якому зазначено, що Національним банком України опрацьовано можливі вар</w:t>
      </w:r>
      <w:sdt>
        <w:sdtPr>
          <w:rPr>
            <w:rFonts w:ascii="Times New Roman" w:hAnsi="Times New Roman" w:cs="Times New Roman"/>
          </w:rPr>
          <w:tag w:val="goog_rdk_0"/>
          <w:id w:val="-980770258"/>
        </w:sdtPr>
        <w:sdtContent>
          <w:r w:rsidR="00EF096C" w:rsidRPr="00EF096C">
            <w:rPr>
              <w:rFonts w:ascii="Times New Roman" w:eastAsia="Gungsuh" w:hAnsi="Times New Roman" w:cs="Times New Roman"/>
              <w:sz w:val="28"/>
              <w:szCs w:val="28"/>
              <w:highlight w:val="white"/>
            </w:rPr>
            <w:t>іанти отримання інформації про клієнтів − фізичних осіб із державних реєстрів, які б враховували вимоги законодавства щодо надання клієнтом згоди на передавання банку відомостей про нього, зокрема  електронних відображень інформації, що міститься в документах, які можуть пред’являтися (надаватися) особою через мобільний додаток Порталу Дія (Дія), та відображення іншої інформації про особу, що може бути отримана з національних електронних інформаційних ресурсів, інших інформаційно-комунікаційних систем, єдиних інформаційних систем та систем електронного документообігу</w:t>
          </w:r>
          <w:r>
            <w:rPr>
              <w:rFonts w:ascii="Times New Roman" w:eastAsia="Gungsuh" w:hAnsi="Times New Roman" w:cs="Times New Roman"/>
              <w:sz w:val="28"/>
              <w:szCs w:val="28"/>
            </w:rPr>
            <w:t>.</w:t>
          </w:r>
        </w:sdtContent>
      </w:sdt>
    </w:p>
    <w:p w14:paraId="0DDE2FD7" w14:textId="77777777" w:rsidR="00EF096C" w:rsidRDefault="00EF096C" w:rsidP="00EF09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 Основні положення проекту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sdt>
      <w:sdtPr>
        <w:tag w:val="goog_rdk_1"/>
        <w:id w:val="826482395"/>
      </w:sdtPr>
      <w:sdtContent>
        <w:p w14:paraId="1FDE0F11" w14:textId="700BFBCA" w:rsidR="00EF096C" w:rsidRPr="00190C90" w:rsidRDefault="00EF096C" w:rsidP="002F14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FFFFFF" w:themeColor="background1"/>
              <w:sz w:val="28"/>
              <w:szCs w:val="28"/>
            </w:rPr>
          </w:pPr>
          <w:r w:rsidRP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Проектом </w:t>
          </w:r>
          <w:proofErr w:type="spellStart"/>
          <w:r w:rsidRPr="00190C90">
            <w:rPr>
              <w:rFonts w:ascii="Times New Roman" w:eastAsia="Times New Roman" w:hAnsi="Times New Roman" w:cs="Times New Roman"/>
              <w:sz w:val="28"/>
              <w:szCs w:val="28"/>
            </w:rPr>
            <w:t>акта</w:t>
          </w:r>
          <w:proofErr w:type="spellEnd"/>
          <w:r w:rsidRP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пропонується затвердити </w:t>
          </w:r>
          <w:sdt>
            <w:sdtPr>
              <w:tag w:val="goog_rdk_3"/>
              <w:id w:val="-1932721882"/>
              <w:showingPlcHdr/>
            </w:sdtPr>
            <w:sdtContent>
              <w:r w:rsidR="00190C90" w:rsidRPr="00190C90">
                <w:t xml:space="preserve">     </w:t>
              </w:r>
            </w:sdtContent>
          </w:sdt>
          <w:r w:rsidR="00190C90" w:rsidRP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Порядок комплексної передачі електронних копій, окремої інформації (відомостей, даних), що міститься в електронних відображеннях інформації, що міститься у документах, сформованих засобами Єдиного державного </w:t>
          </w:r>
          <w:proofErr w:type="spellStart"/>
          <w:r w:rsidR="00190C90" w:rsidRPr="00190C90">
            <w:rPr>
              <w:rFonts w:ascii="Times New Roman" w:eastAsia="Times New Roman" w:hAnsi="Times New Roman" w:cs="Times New Roman"/>
              <w:sz w:val="28"/>
              <w:szCs w:val="28"/>
            </w:rPr>
            <w:t>вебпорталу</w:t>
          </w:r>
          <w:proofErr w:type="spellEnd"/>
          <w:r w:rsidR="00190C90" w:rsidRP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електронних послуг, та електронних копій інших документів, сформованих засобами зазначеного порталу, окремої інформації (відомостей, даних), що в них міститься</w:t>
          </w:r>
          <w:r w:rsidRP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, який </w:t>
          </w:r>
          <w:r w:rsidRPr="00190C9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визначатиме </w:t>
          </w:r>
          <w:r w:rsid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механізм комплексної передачі електронних копій, окремої інформації (відомостей, даних), що міститься в електронних відображеннях інформації, що міститься у документах, сформованих засобами Єдиного державного </w:t>
          </w:r>
          <w:proofErr w:type="spellStart"/>
          <w:r w:rsidR="00190C90">
            <w:rPr>
              <w:rFonts w:ascii="Times New Roman" w:eastAsia="Times New Roman" w:hAnsi="Times New Roman" w:cs="Times New Roman"/>
              <w:sz w:val="28"/>
              <w:szCs w:val="28"/>
            </w:rPr>
            <w:t>вебпорталу</w:t>
          </w:r>
          <w:proofErr w:type="spellEnd"/>
          <w:r w:rsidR="00190C9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електронних послуг (далі</w:t>
          </w:r>
          <w:r w:rsidR="004E091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– </w:t>
          </w:r>
          <w:r w:rsidR="00190C90">
            <w:rPr>
              <w:rFonts w:ascii="Times New Roman" w:eastAsia="Times New Roman" w:hAnsi="Times New Roman" w:cs="Times New Roman"/>
              <w:sz w:val="28"/>
              <w:szCs w:val="28"/>
            </w:rPr>
            <w:t>Портал Дія), та електронних копій інших документів, сформованих засобами зазначеного порталу, окремої інформації (відомостей, даних), що в них міститься (далі – електронні копії документів), засобами Порталу Дія, зокрема з використанням мобільного додатка Порталу Дія (Дія), особливості механізму формування, процедури перевірки та отримання електронних копій документів</w:t>
          </w:r>
          <w:r w:rsidR="004E0918">
            <w:rPr>
              <w:rFonts w:ascii="Times New Roman" w:eastAsia="Times New Roman" w:hAnsi="Times New Roman" w:cs="Times New Roman"/>
              <w:sz w:val="28"/>
              <w:szCs w:val="28"/>
            </w:rPr>
            <w:t>.</w:t>
          </w:r>
        </w:p>
      </w:sdtContent>
    </w:sdt>
    <w:p w14:paraId="31E3D762" w14:textId="4BBD6B73" w:rsidR="005456B2" w:rsidRDefault="00190C90" w:rsidP="002F1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Зазначеним проектом Порядку пропонується, зокрема встановити, що </w:t>
      </w:r>
      <w:r>
        <w:rPr>
          <w:rFonts w:ascii="Times New Roman" w:eastAsia="Times New Roman" w:hAnsi="Times New Roman" w:cs="Times New Roman"/>
          <w:sz w:val="28"/>
          <w:szCs w:val="28"/>
        </w:rPr>
        <w:t>за підключення інформаційно-комунікаційних систем для комплексного отримання електронних копій документів банками, фінансовими установами, іншими юридичними особами та фізичними особами – підприємцями, справляється плата, у розмірах, визначених технічним адміністратором Порталу Дія, за погодженням з власником (держателем) Порталу Дія.</w:t>
      </w:r>
    </w:p>
    <w:p w14:paraId="0CCAA4BE" w14:textId="109A3358" w:rsidR="005456B2" w:rsidRDefault="00000000" w:rsidP="002F1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Водночас, проектом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пропонується встановити, що комплексне отримання електронних копій, окремої інформації (відомостей, даних), що міститься в  електронних відображеннях інформації, що міститься у документах, сформованих засобами Порталу Дія для Офісу Президента, Секретаріату Кабінету Міністрів, державних органів, державних підприємств, установ і організацій, органів місцевого самоврядування, закладів охорони здоров’я державної та комунальної форми власності, закладів освіти (у тому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числі дошкільної освіти) державної та комунальної форми власності, іноземних дипломатичних представництв та консульських установ, представництв міжнародних організацій </w:t>
      </w:r>
      <w:r>
        <w:rPr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є безоплатним</w:t>
      </w:r>
      <w:r w:rsidR="000875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E0096" w14:textId="77777777" w:rsidR="002F1492" w:rsidRDefault="002F1492" w:rsidP="002F1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1ED434" w14:textId="77777777" w:rsidR="005456B2" w:rsidRDefault="0000000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 Правові аспекти</w:t>
      </w:r>
    </w:p>
    <w:p w14:paraId="1ABFBE29" w14:textId="60F58E59" w:rsidR="005456B2" w:rsidRDefault="00000000" w:rsidP="00535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розроблено відповідно до Положення про Міністерство цифрової трансформації України, затвердженого постановою Кабінету Міністрів </w:t>
      </w:r>
      <w:r w:rsidRPr="00EF096C">
        <w:rPr>
          <w:rFonts w:ascii="Times New Roman" w:eastAsia="Times New Roman" w:hAnsi="Times New Roman" w:cs="Times New Roman"/>
          <w:sz w:val="28"/>
          <w:szCs w:val="28"/>
        </w:rPr>
        <w:t>України від 18 вересня 2019 р. № 856,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від 4 грудня 2019 р. № 1137 </w:t>
      </w:r>
      <w:r w:rsidR="00461DC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Питання Єдиного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 та Реєстру адміністративних послуг</w:t>
      </w:r>
      <w:r w:rsidR="00461DC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EEFA9E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 Фінансово-економічне обґрунтування</w:t>
      </w:r>
    </w:p>
    <w:p w14:paraId="76A06FDF" w14:textId="206B53AC" w:rsidR="00EF096C" w:rsidRDefault="00EF0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96C">
        <w:rPr>
          <w:rFonts w:ascii="Times New Roman" w:eastAsia="Times New Roman" w:hAnsi="Times New Roman" w:cs="Times New Roman"/>
          <w:sz w:val="28"/>
          <w:szCs w:val="28"/>
        </w:rPr>
        <w:t>Реалізація про</w:t>
      </w:r>
      <w:r w:rsidR="004E09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096C">
        <w:rPr>
          <w:rFonts w:ascii="Times New Roman" w:eastAsia="Times New Roman" w:hAnsi="Times New Roman" w:cs="Times New Roman"/>
          <w:sz w:val="28"/>
          <w:szCs w:val="28"/>
        </w:rPr>
        <w:t xml:space="preserve">кту </w:t>
      </w:r>
      <w:proofErr w:type="spellStart"/>
      <w:r w:rsidRPr="00EF096C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EF096C">
        <w:rPr>
          <w:rFonts w:ascii="Times New Roman" w:eastAsia="Times New Roman" w:hAnsi="Times New Roman" w:cs="Times New Roman"/>
          <w:sz w:val="28"/>
          <w:szCs w:val="28"/>
        </w:rPr>
        <w:t xml:space="preserve"> не потребує додаткових коштів та не матиме прямого чи опосередкованого впливу на надходження та витрати державного та/або місцевого бюджетів. Фінансування видатків, необхідних для реалізації проекту </w:t>
      </w:r>
      <w:proofErr w:type="spellStart"/>
      <w:r w:rsidRPr="00EF096C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EF096C">
        <w:rPr>
          <w:rFonts w:ascii="Times New Roman" w:eastAsia="Times New Roman" w:hAnsi="Times New Roman" w:cs="Times New Roman"/>
          <w:sz w:val="28"/>
          <w:szCs w:val="28"/>
        </w:rPr>
        <w:t xml:space="preserve"> буде здійснюватися в межах видатків, передбачених Державним бюджетом України на відповідний бюджетний період за бюджетною програмою «Електронне урядування» (код 2901030). </w:t>
      </w:r>
      <w:r w:rsidRPr="00535C55">
        <w:rPr>
          <w:rFonts w:ascii="Times New Roman" w:eastAsia="Times New Roman" w:hAnsi="Times New Roman" w:cs="Times New Roman"/>
          <w:sz w:val="28"/>
          <w:szCs w:val="28"/>
        </w:rPr>
        <w:t>Ризики, у тому числі фіскальні, відсутні. Фінансово-економічні розрахунки додаються.</w:t>
      </w:r>
    </w:p>
    <w:p w14:paraId="1D20393F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 Позиція заінтересованих сторін</w:t>
      </w:r>
    </w:p>
    <w:p w14:paraId="7840E7E5" w14:textId="067CE506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3 листопада 2010 р. № 996 «Про забезпечення участі громадськості у формуванні та реалізації державної політики»,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розміщено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</w:t>
      </w:r>
      <w:r w:rsidRPr="00535C55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0D3D5E" w14:textId="77777777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184F5129" w14:textId="368960D8" w:rsidR="001C2D5D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сфери наукової та науково-технічної діяльності, та не потребує розгляду Науковим комітетом Національної ради з питань розвитку науки і технологій.</w:t>
      </w:r>
    </w:p>
    <w:p w14:paraId="0F44985B" w14:textId="77777777" w:rsidR="002F1492" w:rsidRPr="002F1492" w:rsidRDefault="002F1492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DE9D4" w14:textId="0F8C66C5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 Оцінка відповідності</w:t>
      </w:r>
    </w:p>
    <w:p w14:paraId="7CC04413" w14:textId="77777777" w:rsidR="005456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містить положень, що:</w:t>
      </w:r>
    </w:p>
    <w:p w14:paraId="770099D7" w14:textId="77777777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стосуються зобов’язань України у сфері європейської інтеграції;</w:t>
      </w:r>
    </w:p>
    <w:p w14:paraId="6D1AC091" w14:textId="77777777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365A776F" w14:textId="77777777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чоловіків;</w:t>
      </w:r>
    </w:p>
    <w:p w14:paraId="47A4A16F" w14:textId="77777777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11D1FD70" w14:textId="77777777" w:rsidR="005456B2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створюють підстави для дискримінації.</w:t>
      </w:r>
    </w:p>
    <w:p w14:paraId="23433FE7" w14:textId="2A773D70" w:rsidR="00044A9C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Громадська антикорупційна та громадська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експертизи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проводилась.</w:t>
      </w:r>
    </w:p>
    <w:p w14:paraId="3A7C8F8A" w14:textId="77777777" w:rsidR="002F1492" w:rsidRPr="002F1492" w:rsidRDefault="002F1492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A8C49F" w14:textId="396643C9" w:rsidR="005456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 Прогноз результатів</w:t>
      </w:r>
    </w:p>
    <w:p w14:paraId="4C109405" w14:textId="08BF5B00" w:rsidR="005456B2" w:rsidRPr="0008751F" w:rsidRDefault="00000000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суттєво удосконалить надання зокрема фінансових послуг, а також матиме позитивний вплив на всі інші види послуг, оскільки ця модель може використовуватись не лише банками, а й іншими юридичними та фізичними особами - підприємцями, державними органами, тощо.</w:t>
      </w:r>
    </w:p>
    <w:p w14:paraId="330B5E8E" w14:textId="268D34C8" w:rsidR="005456B2" w:rsidRDefault="00B323DA" w:rsidP="002F1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Вплив на інтереси заінтересованих сторін:</w:t>
      </w:r>
    </w:p>
    <w:tbl>
      <w:tblPr>
        <w:tblStyle w:val="af3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1701"/>
        <w:gridCol w:w="3828"/>
      </w:tblGrid>
      <w:tr w:rsidR="005456B2" w:rsidRPr="0008751F" w14:paraId="77D47547" w14:textId="77777777" w:rsidTr="00EF096C"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4626" w14:textId="77777777" w:rsidR="005456B2" w:rsidRPr="000875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>Заінтересована сторона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1478" w14:textId="77777777" w:rsidR="005456B2" w:rsidRPr="000875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 xml:space="preserve">Вплив реалізації </w:t>
            </w:r>
            <w:proofErr w:type="spellStart"/>
            <w:r w:rsidRPr="0008751F">
              <w:rPr>
                <w:rFonts w:ascii="Times New Roman" w:eastAsia="Times New Roman" w:hAnsi="Times New Roman" w:cs="Times New Roman"/>
              </w:rPr>
              <w:t>акта</w:t>
            </w:r>
            <w:proofErr w:type="spellEnd"/>
            <w:r w:rsidRPr="0008751F">
              <w:rPr>
                <w:rFonts w:ascii="Times New Roman" w:eastAsia="Times New Roman" w:hAnsi="Times New Roman" w:cs="Times New Roman"/>
              </w:rPr>
              <w:t xml:space="preserve"> на заінтересовану сторону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1250" w14:textId="77777777" w:rsidR="005456B2" w:rsidRPr="000875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>Пояснення очікуваного впливу</w:t>
            </w:r>
          </w:p>
        </w:tc>
      </w:tr>
      <w:tr w:rsidR="005456B2" w:rsidRPr="0008751F" w14:paraId="1C8BEAC0" w14:textId="77777777" w:rsidTr="00EF096C"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2C7D" w14:textId="1009892D" w:rsidR="005456B2" w:rsidRPr="0008751F" w:rsidRDefault="0000000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>Офіс Президента, Секретаріату Кабінету Міністрів, державн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і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орган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и</w:t>
            </w:r>
            <w:r w:rsidRPr="0008751F">
              <w:rPr>
                <w:rFonts w:ascii="Times New Roman" w:eastAsia="Times New Roman" w:hAnsi="Times New Roman" w:cs="Times New Roman"/>
              </w:rPr>
              <w:t>, державн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і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підприємств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а</w:t>
            </w:r>
            <w:r w:rsidRPr="0008751F">
              <w:rPr>
                <w:rFonts w:ascii="Times New Roman" w:eastAsia="Times New Roman" w:hAnsi="Times New Roman" w:cs="Times New Roman"/>
              </w:rPr>
              <w:t>, установ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и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і організаці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ї</w:t>
            </w:r>
            <w:r w:rsidRPr="0008751F">
              <w:rPr>
                <w:rFonts w:ascii="Times New Roman" w:eastAsia="Times New Roman" w:hAnsi="Times New Roman" w:cs="Times New Roman"/>
              </w:rPr>
              <w:t>, орган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и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місцевого самоврядування, заклад</w:t>
            </w:r>
            <w:r w:rsidR="00EF096C" w:rsidRPr="0008751F">
              <w:rPr>
                <w:rFonts w:ascii="Times New Roman" w:eastAsia="Times New Roman" w:hAnsi="Times New Roman" w:cs="Times New Roman"/>
              </w:rPr>
              <w:t>и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охорони здоров’я державної та комунальної форми власності, закладів освіти (у тому числі дошкільної освіти) державної та комунальної форми власності, іноземних дипломатичних представництв та консульських установ, представництв міжнародних організацій</w:t>
            </w:r>
            <w:r w:rsidR="0008751F" w:rsidRPr="0008751F">
              <w:rPr>
                <w:rFonts w:ascii="Times New Roman" w:eastAsia="Times New Roman" w:hAnsi="Times New Roman" w:cs="Times New Roman"/>
              </w:rPr>
              <w:t>, банки, фінансові установи, інші юридичні особи та фізичні особи - підприємці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8F74" w14:textId="77777777" w:rsidR="005456B2" w:rsidRPr="000875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1907" w14:textId="0BCD173B" w:rsidR="005456B2" w:rsidRPr="000875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 xml:space="preserve">Можливість у разі необхідності комплексного отримання електронних копій, </w:t>
            </w:r>
            <w:r w:rsidRPr="0008751F">
              <w:rPr>
                <w:rFonts w:ascii="Times New Roman" w:eastAsia="Times New Roman" w:hAnsi="Times New Roman" w:cs="Times New Roman"/>
                <w:highlight w:val="white"/>
              </w:rPr>
              <w:t xml:space="preserve">окремої інформації (відомостей, даних), що міститься в електронних відображеннях інформації, що міститься у документах, сформованих 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засобами Єдиного державного </w:t>
            </w:r>
            <w:proofErr w:type="spellStart"/>
            <w:r w:rsidRPr="0008751F">
              <w:rPr>
                <w:rFonts w:ascii="Times New Roman" w:eastAsia="Times New Roman" w:hAnsi="Times New Roman" w:cs="Times New Roman"/>
              </w:rPr>
              <w:t>вебпорталу</w:t>
            </w:r>
            <w:proofErr w:type="spellEnd"/>
            <w:r w:rsidRPr="0008751F">
              <w:rPr>
                <w:rFonts w:ascii="Times New Roman" w:eastAsia="Times New Roman" w:hAnsi="Times New Roman" w:cs="Times New Roman"/>
              </w:rPr>
              <w:t xml:space="preserve"> електронних послуг</w:t>
            </w:r>
          </w:p>
        </w:tc>
      </w:tr>
      <w:tr w:rsidR="005456B2" w:rsidRPr="0008751F" w14:paraId="4E8633F0" w14:textId="77777777" w:rsidTr="00EF096C"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8CFC" w14:textId="5075BA36" w:rsidR="005456B2" w:rsidRPr="0008751F" w:rsidRDefault="0008751F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 xml:space="preserve">Фізичні особи, які звертаються за отриманням публічних (електронних публічних) та інших послуг, засобами Єдиного державного </w:t>
            </w:r>
            <w:proofErr w:type="spellStart"/>
            <w:r w:rsidRPr="0008751F">
              <w:rPr>
                <w:rFonts w:ascii="Times New Roman" w:eastAsia="Times New Roman" w:hAnsi="Times New Roman" w:cs="Times New Roman"/>
              </w:rPr>
              <w:t>вебпорталу</w:t>
            </w:r>
            <w:proofErr w:type="spellEnd"/>
            <w:r w:rsidRPr="0008751F">
              <w:rPr>
                <w:rFonts w:ascii="Times New Roman" w:eastAsia="Times New Roman" w:hAnsi="Times New Roman" w:cs="Times New Roman"/>
              </w:rPr>
              <w:t xml:space="preserve"> електронних послуг, зокрема з використанням мобільного додатка Порталу Дія (Дія), зокрема, фінансових послуг та повинні докумен</w:t>
            </w:r>
            <w:r w:rsidR="004E0918">
              <w:rPr>
                <w:rFonts w:ascii="Times New Roman" w:eastAsia="Times New Roman" w:hAnsi="Times New Roman" w:cs="Times New Roman"/>
              </w:rPr>
              <w:t>т</w:t>
            </w:r>
            <w:r w:rsidRPr="0008751F">
              <w:rPr>
                <w:rFonts w:ascii="Times New Roman" w:eastAsia="Times New Roman" w:hAnsi="Times New Roman" w:cs="Times New Roman"/>
              </w:rPr>
              <w:t>ально підтверджувати інформацію документами, має встановлений мобільний додаток Порталу Дія (Дія), досяг 14 років, має присвоєний РНОКПП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7317" w14:textId="77777777" w:rsidR="005456B2" w:rsidRPr="000875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2780" w14:textId="286B3B72" w:rsidR="005456B2" w:rsidRPr="0008751F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751F">
              <w:rPr>
                <w:rFonts w:ascii="Times New Roman" w:eastAsia="Times New Roman" w:hAnsi="Times New Roman" w:cs="Times New Roman"/>
              </w:rPr>
              <w:t xml:space="preserve">Можливість у разі необхідності комплексного </w:t>
            </w:r>
            <w:r w:rsidR="0008751F">
              <w:rPr>
                <w:rFonts w:ascii="Times New Roman" w:eastAsia="Times New Roman" w:hAnsi="Times New Roman" w:cs="Times New Roman"/>
              </w:rPr>
              <w:t>надання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електронних копій, </w:t>
            </w:r>
            <w:r w:rsidRPr="0008751F">
              <w:rPr>
                <w:rFonts w:ascii="Times New Roman" w:eastAsia="Times New Roman" w:hAnsi="Times New Roman" w:cs="Times New Roman"/>
                <w:highlight w:val="white"/>
              </w:rPr>
              <w:t xml:space="preserve">окремої інформації (відомостей, даних), що міститься в 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 </w:t>
            </w:r>
            <w:r w:rsidRPr="0008751F">
              <w:rPr>
                <w:rFonts w:ascii="Times New Roman" w:eastAsia="Times New Roman" w:hAnsi="Times New Roman" w:cs="Times New Roman"/>
                <w:highlight w:val="white"/>
              </w:rPr>
              <w:t xml:space="preserve">електронних відображеннях інформації, що міститься у документах, сформованих </w:t>
            </w:r>
            <w:r w:rsidRPr="0008751F">
              <w:rPr>
                <w:rFonts w:ascii="Times New Roman" w:eastAsia="Times New Roman" w:hAnsi="Times New Roman" w:cs="Times New Roman"/>
              </w:rPr>
              <w:t xml:space="preserve">засобами Єдиного державного </w:t>
            </w:r>
            <w:proofErr w:type="spellStart"/>
            <w:r w:rsidRPr="0008751F">
              <w:rPr>
                <w:rFonts w:ascii="Times New Roman" w:eastAsia="Times New Roman" w:hAnsi="Times New Roman" w:cs="Times New Roman"/>
              </w:rPr>
              <w:t>вебпорталу</w:t>
            </w:r>
            <w:proofErr w:type="spellEnd"/>
            <w:r w:rsidRPr="0008751F">
              <w:rPr>
                <w:rFonts w:ascii="Times New Roman" w:eastAsia="Times New Roman" w:hAnsi="Times New Roman" w:cs="Times New Roman"/>
              </w:rPr>
              <w:t xml:space="preserve"> електронних послуг</w:t>
            </w:r>
            <w:r w:rsidR="0008751F">
              <w:rPr>
                <w:rFonts w:ascii="Times New Roman" w:eastAsia="Times New Roman" w:hAnsi="Times New Roman" w:cs="Times New Roman"/>
              </w:rPr>
              <w:t xml:space="preserve"> при отриманні </w:t>
            </w:r>
            <w:r w:rsidR="0008751F" w:rsidRPr="0008751F">
              <w:rPr>
                <w:rFonts w:ascii="Times New Roman" w:eastAsia="Times New Roman" w:hAnsi="Times New Roman" w:cs="Times New Roman"/>
              </w:rPr>
              <w:t>публічних (електронних публічних) та інших послуг</w:t>
            </w:r>
            <w:r w:rsidR="0008751F">
              <w:rPr>
                <w:rFonts w:ascii="Times New Roman" w:eastAsia="Times New Roman" w:hAnsi="Times New Roman" w:cs="Times New Roman"/>
              </w:rPr>
              <w:t xml:space="preserve"> замість надання копій документів</w:t>
            </w:r>
          </w:p>
        </w:tc>
      </w:tr>
    </w:tbl>
    <w:p w14:paraId="4B83FC0E" w14:textId="77777777" w:rsidR="0008751F" w:rsidRPr="009066F9" w:rsidRDefault="0008751F">
      <w:pPr>
        <w:tabs>
          <w:tab w:val="center" w:pos="4677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366650" w14:textId="02CB4789" w:rsidR="005456B2" w:rsidRDefault="00000000">
      <w:pPr>
        <w:tabs>
          <w:tab w:val="center" w:pos="4677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Віце-прем’єр-міністр України</w:t>
      </w:r>
    </w:p>
    <w:p w14:paraId="35FFB5EC" w14:textId="77777777" w:rsidR="005456B2" w:rsidRDefault="00000000">
      <w:pPr>
        <w:tabs>
          <w:tab w:val="center" w:pos="4677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 інновацій, розвитку освіти,</w:t>
      </w:r>
    </w:p>
    <w:p w14:paraId="0374B275" w14:textId="77777777" w:rsidR="002F1492" w:rsidRDefault="00000000">
      <w:pPr>
        <w:tabs>
          <w:tab w:val="center" w:pos="4677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науки та технологій – Міністр </w:t>
      </w:r>
    </w:p>
    <w:p w14:paraId="2DF2F4AE" w14:textId="4CAC2783" w:rsidR="005456B2" w:rsidRDefault="004C0580">
      <w:pPr>
        <w:tabs>
          <w:tab w:val="center" w:pos="4677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</w:t>
      </w:r>
      <w:r w:rsidR="002F1492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Михайло ФЕДОРОВ</w:t>
      </w:r>
    </w:p>
    <w:p w14:paraId="5CA177CC" w14:textId="77777777" w:rsidR="005456B2" w:rsidRPr="00EF096C" w:rsidRDefault="00545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397DBCFA" w14:textId="223D7514" w:rsidR="005456B2" w:rsidRDefault="00545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456B2" w:rsidSect="002F1492">
      <w:headerReference w:type="default" r:id="rId9"/>
      <w:pgSz w:w="11906" w:h="16838"/>
      <w:pgMar w:top="851" w:right="737" w:bottom="1418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1F9E" w14:textId="77777777" w:rsidR="00B96B71" w:rsidRDefault="00B96B71">
      <w:pPr>
        <w:spacing w:after="0" w:line="240" w:lineRule="auto"/>
      </w:pPr>
      <w:r>
        <w:separator/>
      </w:r>
    </w:p>
  </w:endnote>
  <w:endnote w:type="continuationSeparator" w:id="0">
    <w:p w14:paraId="25833382" w14:textId="77777777" w:rsidR="00B96B71" w:rsidRDefault="00B9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8CF6" w14:textId="77777777" w:rsidR="00B96B71" w:rsidRDefault="00B96B71">
      <w:pPr>
        <w:spacing w:after="0" w:line="240" w:lineRule="auto"/>
      </w:pPr>
      <w:r>
        <w:separator/>
      </w:r>
    </w:p>
  </w:footnote>
  <w:footnote w:type="continuationSeparator" w:id="0">
    <w:p w14:paraId="24A3E98E" w14:textId="77777777" w:rsidR="00B96B71" w:rsidRDefault="00B9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F52D" w14:textId="77777777" w:rsidR="005456B2" w:rsidRDefault="005456B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0E8852F" w14:textId="77777777" w:rsidR="005456B2" w:rsidRDefault="005456B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34A1AA4" w14:textId="77777777" w:rsidR="005456B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F096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B2"/>
    <w:rsid w:val="00044A9C"/>
    <w:rsid w:val="0008751F"/>
    <w:rsid w:val="00167648"/>
    <w:rsid w:val="00190C90"/>
    <w:rsid w:val="001C2D5D"/>
    <w:rsid w:val="001D45ED"/>
    <w:rsid w:val="002F1492"/>
    <w:rsid w:val="00403CCA"/>
    <w:rsid w:val="00461DC1"/>
    <w:rsid w:val="0046348E"/>
    <w:rsid w:val="004C0580"/>
    <w:rsid w:val="004E0918"/>
    <w:rsid w:val="005309F2"/>
    <w:rsid w:val="00535C55"/>
    <w:rsid w:val="005456B2"/>
    <w:rsid w:val="00597E1E"/>
    <w:rsid w:val="006A1478"/>
    <w:rsid w:val="007C27D9"/>
    <w:rsid w:val="00823510"/>
    <w:rsid w:val="00856714"/>
    <w:rsid w:val="008A2BF9"/>
    <w:rsid w:val="009066F9"/>
    <w:rsid w:val="00940EB7"/>
    <w:rsid w:val="00AD1CDB"/>
    <w:rsid w:val="00B323DA"/>
    <w:rsid w:val="00B96B71"/>
    <w:rsid w:val="00C43350"/>
    <w:rsid w:val="00D85F5D"/>
    <w:rsid w:val="00D97515"/>
    <w:rsid w:val="00E834F3"/>
    <w:rsid w:val="00E84E92"/>
    <w:rsid w:val="00EE154D"/>
    <w:rsid w:val="00EF096C"/>
    <w:rsid w:val="00F3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3E6D"/>
  <w15:docId w15:val="{33A2E698-03A0-4A64-8D46-E90AB689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724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486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4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486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48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2486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A5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8A5CA9"/>
  </w:style>
  <w:style w:type="paragraph" w:styleId="af">
    <w:name w:val="footer"/>
    <w:basedOn w:val="a"/>
    <w:link w:val="af0"/>
    <w:uiPriority w:val="99"/>
    <w:unhideWhenUsed/>
    <w:rsid w:val="008A5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8A5CA9"/>
  </w:style>
  <w:style w:type="paragraph" w:styleId="af1">
    <w:name w:val="Revision"/>
    <w:hidden/>
    <w:uiPriority w:val="99"/>
    <w:semiHidden/>
    <w:rsid w:val="00616238"/>
    <w:pPr>
      <w:spacing w:after="0" w:line="240" w:lineRule="auto"/>
    </w:p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37-2022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HkzhyI4Uxukls4e1Edh2YhO9IA==">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</go:docsCustomData>
</go:gDocsCustomXmlDataStorage>
</file>

<file path=customXml/itemProps1.xml><?xml version="1.0" encoding="utf-8"?>
<ds:datastoreItem xmlns:ds="http://schemas.openxmlformats.org/officeDocument/2006/customXml" ds:itemID="{A8F196AE-EF09-4F68-AEAC-13B709A27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Vira D</cp:lastModifiedBy>
  <cp:revision>2</cp:revision>
  <dcterms:created xsi:type="dcterms:W3CDTF">2023-10-10T21:22:00Z</dcterms:created>
  <dcterms:modified xsi:type="dcterms:W3CDTF">2023-10-10T21:22:00Z</dcterms:modified>
</cp:coreProperties>
</file>