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Ind w:w="63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tblGrid>
      <w:tr w:rsidR="00F83C1B" w:rsidRPr="00F83C1B" w14:paraId="1FEA31CA" w14:textId="77777777" w:rsidTr="00DA2132">
        <w:tc>
          <w:tcPr>
            <w:tcW w:w="3823" w:type="dxa"/>
          </w:tcPr>
          <w:p w14:paraId="3932748D" w14:textId="77777777" w:rsidR="00DA2132" w:rsidRPr="00F83C1B" w:rsidRDefault="00DA2132" w:rsidP="00DA2132">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F83C1B">
              <w:rPr>
                <w:rFonts w:ascii="Times New Roman" w:eastAsia="Times New Roman" w:hAnsi="Times New Roman" w:cs="Times New Roman"/>
                <w:sz w:val="24"/>
                <w:szCs w:val="24"/>
              </w:rPr>
              <w:t>Додаток 3</w:t>
            </w:r>
          </w:p>
          <w:p w14:paraId="13F00A16" w14:textId="77777777" w:rsidR="00973E27" w:rsidRPr="00F83C1B" w:rsidRDefault="00973E27" w:rsidP="00973E27">
            <w:pPr>
              <w:pBdr>
                <w:top w:val="nil"/>
                <w:left w:val="nil"/>
                <w:bottom w:val="nil"/>
                <w:right w:val="nil"/>
                <w:between w:val="nil"/>
              </w:pBdr>
              <w:spacing w:after="0" w:line="240" w:lineRule="auto"/>
              <w:ind w:left="0" w:hanging="2"/>
              <w:jc w:val="both"/>
              <w:textDirection w:val="lrTb"/>
              <w:rPr>
                <w:rFonts w:ascii="Times New Roman" w:eastAsia="Times New Roman" w:hAnsi="Times New Roman" w:cs="Times New Roman"/>
                <w:sz w:val="24"/>
                <w:szCs w:val="24"/>
              </w:rPr>
            </w:pPr>
            <w:r w:rsidRPr="00F83C1B">
              <w:rPr>
                <w:rFonts w:ascii="Times New Roman" w:eastAsia="Times New Roman" w:hAnsi="Times New Roman" w:cs="Times New Roman"/>
                <w:sz w:val="24"/>
                <w:szCs w:val="24"/>
              </w:rPr>
              <w:t>до Вимог до засобів електронної ідентифікації, рівнів довіри до засобів електронної ідентифікації, що встановлюються схемами електронної ідентифікації для сфери електронного урядування</w:t>
            </w:r>
          </w:p>
          <w:p w14:paraId="7FD09A31" w14:textId="1C24D991" w:rsidR="00DA2132" w:rsidRPr="00F83C1B" w:rsidRDefault="00DA2132" w:rsidP="00973E27">
            <w:pPr>
              <w:pBdr>
                <w:top w:val="nil"/>
                <w:left w:val="nil"/>
                <w:bottom w:val="nil"/>
                <w:right w:val="nil"/>
                <w:between w:val="nil"/>
              </w:pBdr>
              <w:spacing w:after="0" w:line="240" w:lineRule="auto"/>
              <w:ind w:left="0" w:hanging="2"/>
              <w:rPr>
                <w:rFonts w:ascii="Times New Roman" w:eastAsia="Times New Roman" w:hAnsi="Times New Roman" w:cs="Times New Roman"/>
              </w:rPr>
            </w:pPr>
            <w:r w:rsidRPr="00F83C1B">
              <w:rPr>
                <w:rFonts w:ascii="Times New Roman" w:eastAsia="Times New Roman" w:hAnsi="Times New Roman" w:cs="Times New Roman"/>
                <w:sz w:val="24"/>
                <w:szCs w:val="24"/>
              </w:rPr>
              <w:t>(пункт 2 розділу III)</w:t>
            </w:r>
            <w:bookmarkStart w:id="0" w:name="bookmark=id.gjdgxs" w:colFirst="0" w:colLast="0"/>
            <w:bookmarkEnd w:id="0"/>
          </w:p>
          <w:p w14:paraId="61F8C6A9" w14:textId="77777777" w:rsidR="00DA2132" w:rsidRPr="00F83C1B" w:rsidRDefault="00DA2132">
            <w:pPr>
              <w:spacing w:after="0" w:line="240" w:lineRule="auto"/>
              <w:ind w:leftChars="0" w:left="0" w:firstLineChars="0" w:firstLine="0"/>
              <w:rPr>
                <w:rFonts w:ascii="Times New Roman" w:eastAsia="Times New Roman" w:hAnsi="Times New Roman" w:cs="Times New Roman"/>
                <w:sz w:val="24"/>
                <w:szCs w:val="24"/>
              </w:rPr>
            </w:pPr>
          </w:p>
        </w:tc>
      </w:tr>
    </w:tbl>
    <w:p w14:paraId="74BA93E0" w14:textId="77777777" w:rsidR="00DA2132" w:rsidRPr="00F83C1B" w:rsidRDefault="00DA2132">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p w14:paraId="300CEED3" w14:textId="3140E4DF" w:rsidR="0066031C" w:rsidRPr="00F83C1B" w:rsidRDefault="00775F58" w:rsidP="000B345D">
      <w:pPr>
        <w:pBdr>
          <w:top w:val="nil"/>
          <w:left w:val="nil"/>
          <w:bottom w:val="nil"/>
          <w:right w:val="nil"/>
          <w:between w:val="nil"/>
        </w:pBdr>
        <w:shd w:val="clear" w:color="auto" w:fill="FFFFFF"/>
        <w:spacing w:before="150" w:after="150" w:line="240" w:lineRule="auto"/>
        <w:ind w:left="1" w:right="1" w:hanging="3"/>
        <w:jc w:val="center"/>
        <w:rPr>
          <w:rFonts w:ascii="Times New Roman" w:eastAsia="Times New Roman" w:hAnsi="Times New Roman" w:cs="Times New Roman"/>
          <w:b/>
          <w:sz w:val="28"/>
          <w:szCs w:val="28"/>
        </w:rPr>
      </w:pPr>
      <w:r w:rsidRPr="00F83C1B">
        <w:rPr>
          <w:rFonts w:ascii="Times New Roman" w:eastAsia="Times New Roman" w:hAnsi="Times New Roman" w:cs="Times New Roman"/>
          <w:b/>
          <w:sz w:val="28"/>
          <w:szCs w:val="28"/>
        </w:rPr>
        <w:t>ЕЛЕМЕНТИ ТЕХНІЧНИХ СПЕЦИФІКАЦ</w:t>
      </w:r>
      <w:bookmarkStart w:id="1" w:name="_GoBack"/>
      <w:bookmarkEnd w:id="1"/>
      <w:r w:rsidRPr="00F83C1B">
        <w:rPr>
          <w:rFonts w:ascii="Times New Roman" w:eastAsia="Times New Roman" w:hAnsi="Times New Roman" w:cs="Times New Roman"/>
          <w:b/>
          <w:sz w:val="28"/>
          <w:szCs w:val="28"/>
        </w:rPr>
        <w:t>ІЙ ТА ПРОЦЕДУР</w:t>
      </w:r>
      <w:bookmarkStart w:id="2" w:name="bookmark=id.30j0zll" w:colFirst="0" w:colLast="0"/>
      <w:bookmarkEnd w:id="2"/>
    </w:p>
    <w:p w14:paraId="21991987" w14:textId="63573325" w:rsidR="00966135" w:rsidRPr="00F83C1B" w:rsidRDefault="00966135" w:rsidP="000B345D">
      <w:pPr>
        <w:pBdr>
          <w:top w:val="nil"/>
          <w:left w:val="nil"/>
          <w:bottom w:val="nil"/>
          <w:right w:val="nil"/>
          <w:between w:val="nil"/>
        </w:pBdr>
        <w:shd w:val="clear" w:color="auto" w:fill="FFFFFF"/>
        <w:spacing w:before="150" w:after="150" w:line="240" w:lineRule="auto"/>
        <w:ind w:left="1" w:right="1" w:hanging="3"/>
        <w:jc w:val="center"/>
        <w:rPr>
          <w:rFonts w:ascii="Times New Roman" w:eastAsia="Times New Roman" w:hAnsi="Times New Roman" w:cs="Times New Roman"/>
          <w:b/>
          <w:sz w:val="28"/>
          <w:szCs w:val="28"/>
        </w:rPr>
      </w:pPr>
      <w:r w:rsidRPr="00F83C1B">
        <w:rPr>
          <w:rFonts w:ascii="Times New Roman" w:eastAsia="Times New Roman" w:hAnsi="Times New Roman" w:cs="Times New Roman"/>
          <w:b/>
          <w:sz w:val="28"/>
          <w:szCs w:val="28"/>
        </w:rPr>
        <w:t>до автентифікації</w:t>
      </w:r>
    </w:p>
    <w:p w14:paraId="7B32E100" w14:textId="77777777" w:rsidR="0066031C" w:rsidRPr="00F83C1B" w:rsidRDefault="00775F58">
      <w:pPr>
        <w:pBdr>
          <w:top w:val="nil"/>
          <w:left w:val="nil"/>
          <w:bottom w:val="nil"/>
          <w:right w:val="nil"/>
          <w:between w:val="nil"/>
        </w:pBdr>
        <w:shd w:val="clear" w:color="auto" w:fill="FFFFFF"/>
        <w:spacing w:before="150" w:after="150" w:line="240" w:lineRule="auto"/>
        <w:ind w:left="0" w:hanging="2"/>
        <w:jc w:val="center"/>
        <w:rPr>
          <w:rFonts w:ascii="Times New Roman" w:eastAsia="Times New Roman" w:hAnsi="Times New Roman" w:cs="Times New Roman"/>
          <w:sz w:val="24"/>
          <w:szCs w:val="24"/>
        </w:rPr>
      </w:pPr>
      <w:r w:rsidRPr="00F83C1B">
        <w:rPr>
          <w:rFonts w:ascii="Times New Roman" w:eastAsia="Times New Roman" w:hAnsi="Times New Roman" w:cs="Times New Roman"/>
          <w:b/>
          <w:sz w:val="24"/>
          <w:szCs w:val="24"/>
        </w:rPr>
        <w:t>Вимоги до механізму автентифікації засобів електронної ідентифікації</w:t>
      </w:r>
      <w:bookmarkStart w:id="3" w:name="bookmark=id.1fob9te" w:colFirst="0" w:colLast="0"/>
      <w:bookmarkEnd w:id="3"/>
    </w:p>
    <w:tbl>
      <w:tblPr>
        <w:tblStyle w:val="ae"/>
        <w:tblW w:w="10231"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488"/>
        <w:gridCol w:w="7743"/>
      </w:tblGrid>
      <w:tr w:rsidR="00F83C1B" w:rsidRPr="00F83C1B" w14:paraId="30B5AF4E" w14:textId="77777777">
        <w:trPr>
          <w:trHeight w:val="48"/>
        </w:trPr>
        <w:tc>
          <w:tcPr>
            <w:tcW w:w="2488" w:type="dxa"/>
            <w:tcBorders>
              <w:top w:val="single" w:sz="6" w:space="0" w:color="000000"/>
              <w:left w:val="single" w:sz="6" w:space="0" w:color="000000"/>
              <w:bottom w:val="single" w:sz="6" w:space="0" w:color="000000"/>
              <w:right w:val="single" w:sz="6" w:space="0" w:color="000000"/>
            </w:tcBorders>
          </w:tcPr>
          <w:p w14:paraId="69EEC0B9" w14:textId="77777777" w:rsidR="0066031C" w:rsidRPr="00F83C1B" w:rsidRDefault="00775F58">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F83C1B">
              <w:rPr>
                <w:rFonts w:ascii="Times New Roman" w:eastAsia="Times New Roman" w:hAnsi="Times New Roman" w:cs="Times New Roman"/>
                <w:sz w:val="24"/>
                <w:szCs w:val="24"/>
              </w:rPr>
              <w:t>Рівні довіри до засобів електронної ідентифікації</w:t>
            </w:r>
          </w:p>
        </w:tc>
        <w:tc>
          <w:tcPr>
            <w:tcW w:w="7743" w:type="dxa"/>
            <w:tcBorders>
              <w:top w:val="single" w:sz="6" w:space="0" w:color="000000"/>
              <w:left w:val="single" w:sz="6" w:space="0" w:color="000000"/>
              <w:bottom w:val="single" w:sz="6" w:space="0" w:color="000000"/>
              <w:right w:val="single" w:sz="6" w:space="0" w:color="000000"/>
            </w:tcBorders>
          </w:tcPr>
          <w:p w14:paraId="07645FA3" w14:textId="77777777" w:rsidR="0066031C" w:rsidRPr="00F83C1B" w:rsidRDefault="00775F58">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F83C1B">
              <w:rPr>
                <w:rFonts w:ascii="Times New Roman" w:eastAsia="Times New Roman" w:hAnsi="Times New Roman" w:cs="Times New Roman"/>
                <w:sz w:val="24"/>
                <w:szCs w:val="24"/>
              </w:rPr>
              <w:t>Обов’язкові елементи технічних специфікацій та процедур</w:t>
            </w:r>
          </w:p>
        </w:tc>
      </w:tr>
      <w:tr w:rsidR="00F83C1B" w:rsidRPr="00F83C1B" w14:paraId="67B3457C" w14:textId="77777777">
        <w:trPr>
          <w:trHeight w:val="48"/>
        </w:trPr>
        <w:tc>
          <w:tcPr>
            <w:tcW w:w="2488" w:type="dxa"/>
            <w:tcBorders>
              <w:top w:val="single" w:sz="6" w:space="0" w:color="000000"/>
              <w:left w:val="single" w:sz="6" w:space="0" w:color="000000"/>
              <w:bottom w:val="single" w:sz="6" w:space="0" w:color="000000"/>
              <w:right w:val="single" w:sz="6" w:space="0" w:color="000000"/>
            </w:tcBorders>
          </w:tcPr>
          <w:p w14:paraId="45131AED" w14:textId="77777777" w:rsidR="0066031C" w:rsidRPr="00F83C1B" w:rsidRDefault="00775F58">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F83C1B">
              <w:rPr>
                <w:rFonts w:ascii="Times New Roman" w:eastAsia="Times New Roman" w:hAnsi="Times New Roman" w:cs="Times New Roman"/>
                <w:sz w:val="24"/>
                <w:szCs w:val="24"/>
              </w:rPr>
              <w:t>Низький</w:t>
            </w:r>
          </w:p>
        </w:tc>
        <w:tc>
          <w:tcPr>
            <w:tcW w:w="7743" w:type="dxa"/>
            <w:tcBorders>
              <w:top w:val="single" w:sz="6" w:space="0" w:color="000000"/>
              <w:left w:val="single" w:sz="6" w:space="0" w:color="000000"/>
              <w:bottom w:val="single" w:sz="6" w:space="0" w:color="000000"/>
              <w:right w:val="single" w:sz="6" w:space="0" w:color="000000"/>
            </w:tcBorders>
          </w:tcPr>
          <w:p w14:paraId="1203FAD3" w14:textId="77777777" w:rsidR="000B345D" w:rsidRPr="00F83C1B" w:rsidRDefault="00775F58" w:rsidP="000B345D">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F83C1B">
              <w:rPr>
                <w:rFonts w:ascii="Times New Roman" w:eastAsia="Times New Roman" w:hAnsi="Times New Roman" w:cs="Times New Roman"/>
                <w:sz w:val="24"/>
                <w:szCs w:val="24"/>
              </w:rPr>
              <w:t>1. Перед переданням ідентифікаційних даних має здійснюватися надійна верифікація засобів електронної ідентифікації та встановлення їх дійсності.</w:t>
            </w:r>
          </w:p>
          <w:p w14:paraId="2CC32CBA" w14:textId="77777777" w:rsidR="000B345D" w:rsidRPr="00F83C1B" w:rsidRDefault="00775F58" w:rsidP="000B345D">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F83C1B">
              <w:rPr>
                <w:rFonts w:ascii="Times New Roman" w:eastAsia="Times New Roman" w:hAnsi="Times New Roman" w:cs="Times New Roman"/>
                <w:sz w:val="24"/>
                <w:szCs w:val="24"/>
              </w:rPr>
              <w:t xml:space="preserve">2. Якщо ідентифікаційні дані зберігаються як частина механізму автентифікації, має здійснюватися захист такої інформації від втрат та компрометації, у тому числі захист від втрат та компрометації </w:t>
            </w:r>
            <w:r w:rsidR="00966135" w:rsidRPr="00F83C1B">
              <w:rPr>
                <w:rFonts w:ascii="Times New Roman" w:eastAsia="Times New Roman" w:hAnsi="Times New Roman" w:cs="Times New Roman"/>
                <w:sz w:val="24"/>
                <w:szCs w:val="24"/>
              </w:rPr>
              <w:t>в</w:t>
            </w:r>
            <w:r w:rsidRPr="00F83C1B">
              <w:rPr>
                <w:rFonts w:ascii="Times New Roman" w:eastAsia="Times New Roman" w:hAnsi="Times New Roman" w:cs="Times New Roman"/>
                <w:sz w:val="24"/>
                <w:szCs w:val="24"/>
              </w:rPr>
              <w:t xml:space="preserve"> режимі офлайн.</w:t>
            </w:r>
          </w:p>
          <w:p w14:paraId="08FCDCE7" w14:textId="56979B7C" w:rsidR="0066031C" w:rsidRPr="00F83C1B" w:rsidRDefault="00775F58" w:rsidP="000B345D">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F83C1B">
              <w:rPr>
                <w:rFonts w:ascii="Times New Roman" w:eastAsia="Times New Roman" w:hAnsi="Times New Roman" w:cs="Times New Roman"/>
                <w:sz w:val="24"/>
                <w:szCs w:val="24"/>
              </w:rPr>
              <w:t>3. Механізм автентифікації має забезпечувати впровадження методів контролю безпеки для верифікації засобів електронної ідентифікації, направлених на якнайбільше зниження ймовірності порушення механізму шляхом реалізації атак підбору, перехоплення, повторного відтворення та підміни порушником з потенціалом здійснення нападу вище ніж базовий</w:t>
            </w:r>
            <w:r w:rsidR="000B345D" w:rsidRPr="00F83C1B">
              <w:rPr>
                <w:rFonts w:ascii="Times New Roman" w:eastAsia="Times New Roman" w:hAnsi="Times New Roman" w:cs="Times New Roman"/>
                <w:sz w:val="24"/>
                <w:szCs w:val="24"/>
              </w:rPr>
              <w:t>.</w:t>
            </w:r>
          </w:p>
        </w:tc>
      </w:tr>
      <w:tr w:rsidR="00F83C1B" w:rsidRPr="00F83C1B" w14:paraId="1F152C79" w14:textId="77777777">
        <w:trPr>
          <w:trHeight w:val="48"/>
        </w:trPr>
        <w:tc>
          <w:tcPr>
            <w:tcW w:w="2488" w:type="dxa"/>
            <w:tcBorders>
              <w:top w:val="single" w:sz="6" w:space="0" w:color="000000"/>
              <w:left w:val="single" w:sz="6" w:space="0" w:color="000000"/>
              <w:bottom w:val="single" w:sz="6" w:space="0" w:color="000000"/>
              <w:right w:val="single" w:sz="6" w:space="0" w:color="000000"/>
            </w:tcBorders>
          </w:tcPr>
          <w:p w14:paraId="637D8F65" w14:textId="77777777" w:rsidR="0066031C" w:rsidRPr="00F83C1B" w:rsidRDefault="00775F58">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F83C1B">
              <w:rPr>
                <w:rFonts w:ascii="Times New Roman" w:eastAsia="Times New Roman" w:hAnsi="Times New Roman" w:cs="Times New Roman"/>
                <w:sz w:val="24"/>
                <w:szCs w:val="24"/>
              </w:rPr>
              <w:t>Середній</w:t>
            </w:r>
          </w:p>
        </w:tc>
        <w:tc>
          <w:tcPr>
            <w:tcW w:w="7743" w:type="dxa"/>
            <w:tcBorders>
              <w:top w:val="single" w:sz="6" w:space="0" w:color="000000"/>
              <w:left w:val="single" w:sz="6" w:space="0" w:color="000000"/>
              <w:bottom w:val="single" w:sz="6" w:space="0" w:color="000000"/>
              <w:right w:val="single" w:sz="6" w:space="0" w:color="000000"/>
            </w:tcBorders>
          </w:tcPr>
          <w:p w14:paraId="57ADBEA0" w14:textId="77777777" w:rsidR="000B345D" w:rsidRPr="00F83C1B" w:rsidRDefault="00775F58" w:rsidP="000B345D">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F83C1B">
              <w:rPr>
                <w:rFonts w:ascii="Times New Roman" w:eastAsia="Times New Roman" w:hAnsi="Times New Roman" w:cs="Times New Roman"/>
                <w:sz w:val="24"/>
                <w:szCs w:val="24"/>
              </w:rPr>
              <w:t>Такі самі, як для низького рівня довіри.</w:t>
            </w:r>
          </w:p>
          <w:p w14:paraId="088DE590" w14:textId="77777777" w:rsidR="000B345D" w:rsidRPr="00F83C1B" w:rsidRDefault="00775F58" w:rsidP="000B345D">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F83C1B">
              <w:rPr>
                <w:rFonts w:ascii="Times New Roman" w:eastAsia="Times New Roman" w:hAnsi="Times New Roman" w:cs="Times New Roman"/>
                <w:sz w:val="24"/>
                <w:szCs w:val="24"/>
              </w:rPr>
              <w:t>1. Перед переданням ідентифікаційних даних мають здійснюватися надійна верифікація засобів електронної ідентифікації та встановлення їх дійсності за допомогою динамічної автентифікації.</w:t>
            </w:r>
          </w:p>
          <w:p w14:paraId="62F2FE5D" w14:textId="46AC7F28" w:rsidR="0066031C" w:rsidRPr="00F83C1B" w:rsidRDefault="00775F58" w:rsidP="000B345D">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F83C1B">
              <w:rPr>
                <w:rFonts w:ascii="Times New Roman" w:eastAsia="Times New Roman" w:hAnsi="Times New Roman" w:cs="Times New Roman"/>
                <w:sz w:val="24"/>
                <w:szCs w:val="24"/>
              </w:rPr>
              <w:t>2. Механізм автентифікації має забезпечувати впровадження методів контролю безпеки для верифікації засобів електронної ідентифікації, направлених на якнайбільше зниження ймовірності порушення механізму шляхом реалізації атак підбору, перехоплення, повторного відтворення та підміни порушником із середнім потенціалом здійснення нападу</w:t>
            </w:r>
            <w:r w:rsidR="000B345D" w:rsidRPr="00F83C1B">
              <w:rPr>
                <w:rFonts w:ascii="Times New Roman" w:eastAsia="Times New Roman" w:hAnsi="Times New Roman" w:cs="Times New Roman"/>
                <w:sz w:val="24"/>
                <w:szCs w:val="24"/>
              </w:rPr>
              <w:t>.</w:t>
            </w:r>
          </w:p>
        </w:tc>
      </w:tr>
      <w:tr w:rsidR="0066031C" w:rsidRPr="00F83C1B" w14:paraId="3C7027CA" w14:textId="77777777">
        <w:trPr>
          <w:trHeight w:val="48"/>
        </w:trPr>
        <w:tc>
          <w:tcPr>
            <w:tcW w:w="2488" w:type="dxa"/>
            <w:tcBorders>
              <w:top w:val="single" w:sz="6" w:space="0" w:color="000000"/>
              <w:left w:val="single" w:sz="6" w:space="0" w:color="000000"/>
              <w:bottom w:val="single" w:sz="6" w:space="0" w:color="000000"/>
              <w:right w:val="single" w:sz="6" w:space="0" w:color="000000"/>
            </w:tcBorders>
          </w:tcPr>
          <w:p w14:paraId="0A57ED03" w14:textId="77777777" w:rsidR="0066031C" w:rsidRPr="00F83C1B" w:rsidRDefault="00775F58">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F83C1B">
              <w:rPr>
                <w:rFonts w:ascii="Times New Roman" w:eastAsia="Times New Roman" w:hAnsi="Times New Roman" w:cs="Times New Roman"/>
                <w:sz w:val="24"/>
                <w:szCs w:val="24"/>
              </w:rPr>
              <w:t>Високий</w:t>
            </w:r>
          </w:p>
        </w:tc>
        <w:tc>
          <w:tcPr>
            <w:tcW w:w="7743" w:type="dxa"/>
            <w:tcBorders>
              <w:top w:val="single" w:sz="6" w:space="0" w:color="000000"/>
              <w:left w:val="single" w:sz="6" w:space="0" w:color="000000"/>
              <w:bottom w:val="single" w:sz="6" w:space="0" w:color="000000"/>
              <w:right w:val="single" w:sz="6" w:space="0" w:color="000000"/>
            </w:tcBorders>
          </w:tcPr>
          <w:p w14:paraId="3B9E335C" w14:textId="77777777" w:rsidR="00DA6926" w:rsidRPr="00F83C1B" w:rsidRDefault="00775F58" w:rsidP="00DA6926">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F83C1B">
              <w:rPr>
                <w:rFonts w:ascii="Times New Roman" w:eastAsia="Times New Roman" w:hAnsi="Times New Roman" w:cs="Times New Roman"/>
                <w:sz w:val="24"/>
                <w:szCs w:val="24"/>
              </w:rPr>
              <w:t>Такі самі, як для середнього рівня довіри.</w:t>
            </w:r>
          </w:p>
          <w:p w14:paraId="6A2C3167" w14:textId="62D25F48" w:rsidR="0066031C" w:rsidRPr="00F83C1B" w:rsidRDefault="00775F58" w:rsidP="00DA6926">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F83C1B">
              <w:rPr>
                <w:rFonts w:ascii="Times New Roman" w:eastAsia="Times New Roman" w:hAnsi="Times New Roman" w:cs="Times New Roman"/>
                <w:sz w:val="24"/>
                <w:szCs w:val="24"/>
              </w:rPr>
              <w:t>Механізм автентифікації має забезпечувати впровадження методів контролю безпеки для верифікації засобів електронної ідентифікації, направлених на якнайбільше зниження ймовірності порушення механізму шляхом реалізації атак підбору, перехоплення, повторного відтворення та підміни порушником з високим потенціалом здійснення нападу</w:t>
            </w:r>
            <w:r w:rsidR="00DA6926" w:rsidRPr="00F83C1B">
              <w:rPr>
                <w:rFonts w:ascii="Times New Roman" w:eastAsia="Times New Roman" w:hAnsi="Times New Roman" w:cs="Times New Roman"/>
                <w:sz w:val="24"/>
                <w:szCs w:val="24"/>
              </w:rPr>
              <w:t>.</w:t>
            </w:r>
          </w:p>
        </w:tc>
      </w:tr>
    </w:tbl>
    <w:p w14:paraId="35B35563" w14:textId="77777777" w:rsidR="0066031C" w:rsidRPr="00F83C1B" w:rsidRDefault="0066031C">
      <w:pPr>
        <w:pBdr>
          <w:top w:val="nil"/>
          <w:left w:val="nil"/>
          <w:bottom w:val="nil"/>
          <w:right w:val="nil"/>
          <w:between w:val="nil"/>
        </w:pBdr>
        <w:shd w:val="clear" w:color="auto" w:fill="FFFFFF"/>
        <w:spacing w:before="150" w:after="150" w:line="240" w:lineRule="auto"/>
        <w:ind w:left="0" w:hanging="2"/>
        <w:jc w:val="center"/>
        <w:rPr>
          <w:rFonts w:ascii="Times New Roman" w:eastAsia="Times New Roman" w:hAnsi="Times New Roman" w:cs="Times New Roman"/>
          <w:sz w:val="24"/>
          <w:szCs w:val="24"/>
        </w:rPr>
      </w:pPr>
    </w:p>
    <w:p w14:paraId="09E88A57" w14:textId="77777777" w:rsidR="0066031C" w:rsidRPr="00F83C1B" w:rsidRDefault="0066031C" w:rsidP="00966135">
      <w:pPr>
        <w:pBdr>
          <w:top w:val="nil"/>
          <w:left w:val="nil"/>
          <w:bottom w:val="nil"/>
          <w:right w:val="nil"/>
          <w:between w:val="nil"/>
        </w:pBdr>
        <w:shd w:val="clear" w:color="auto" w:fill="FFFFFF"/>
        <w:spacing w:before="150" w:after="150" w:line="240" w:lineRule="auto"/>
        <w:ind w:leftChars="0" w:left="0" w:firstLineChars="0" w:firstLine="0"/>
        <w:rPr>
          <w:rFonts w:ascii="Times New Roman" w:eastAsia="Times New Roman" w:hAnsi="Times New Roman" w:cs="Times New Roman"/>
          <w:sz w:val="24"/>
          <w:szCs w:val="24"/>
        </w:rPr>
      </w:pPr>
    </w:p>
    <w:sectPr w:rsidR="0066031C" w:rsidRPr="00F83C1B">
      <w:headerReference w:type="default" r:id="rId7"/>
      <w:pgSz w:w="11906" w:h="16838"/>
      <w:pgMar w:top="850" w:right="849" w:bottom="850" w:left="85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1E891" w14:textId="77777777" w:rsidR="00516606" w:rsidRDefault="00516606">
      <w:pPr>
        <w:spacing w:after="0" w:line="240" w:lineRule="auto"/>
        <w:ind w:left="0" w:hanging="2"/>
      </w:pPr>
      <w:r>
        <w:separator/>
      </w:r>
    </w:p>
  </w:endnote>
  <w:endnote w:type="continuationSeparator" w:id="0">
    <w:p w14:paraId="130E210C" w14:textId="77777777" w:rsidR="00516606" w:rsidRDefault="00516606">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F50164" w14:textId="77777777" w:rsidR="00516606" w:rsidRDefault="00516606">
      <w:pPr>
        <w:spacing w:after="0" w:line="240" w:lineRule="auto"/>
        <w:ind w:left="0" w:hanging="2"/>
      </w:pPr>
      <w:r>
        <w:separator/>
      </w:r>
    </w:p>
  </w:footnote>
  <w:footnote w:type="continuationSeparator" w:id="0">
    <w:p w14:paraId="12FFE86A" w14:textId="77777777" w:rsidR="00516606" w:rsidRDefault="00516606">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D4529" w14:textId="301F48EE" w:rsidR="0066031C" w:rsidRDefault="00775F58">
    <w:pPr>
      <w:pBdr>
        <w:top w:val="nil"/>
        <w:left w:val="nil"/>
        <w:bottom w:val="nil"/>
        <w:right w:val="nil"/>
        <w:between w:val="nil"/>
      </w:pBdr>
      <w:spacing w:after="0" w:line="240" w:lineRule="auto"/>
      <w:ind w:left="1" w:hanging="3"/>
      <w:jc w:val="center"/>
      <w:rPr>
        <w:color w:val="000000"/>
      </w:rPr>
    </w:pPr>
    <w:r>
      <w:rPr>
        <w:rFonts w:ascii="Times New Roman" w:eastAsia="Times New Roman" w:hAnsi="Times New Roman" w:cs="Times New Roman"/>
        <w:color w:val="000000"/>
        <w:sz w:val="28"/>
        <w:szCs w:val="28"/>
      </w:rPr>
      <w:fldChar w:fldCharType="begin"/>
    </w:r>
    <w:r>
      <w:rPr>
        <w:rFonts w:ascii="Times New Roman" w:eastAsia="Times New Roman" w:hAnsi="Times New Roman" w:cs="Times New Roman"/>
        <w:color w:val="000000"/>
        <w:sz w:val="28"/>
        <w:szCs w:val="28"/>
      </w:rPr>
      <w:instrText>PAGE</w:instrText>
    </w:r>
    <w:r>
      <w:rPr>
        <w:rFonts w:ascii="Times New Roman" w:eastAsia="Times New Roman" w:hAnsi="Times New Roman" w:cs="Times New Roman"/>
        <w:color w:val="000000"/>
        <w:sz w:val="28"/>
        <w:szCs w:val="28"/>
      </w:rPr>
      <w:fldChar w:fldCharType="separate"/>
    </w:r>
    <w:r w:rsidR="00966135">
      <w:rPr>
        <w:rFonts w:ascii="Times New Roman" w:eastAsia="Times New Roman" w:hAnsi="Times New Roman" w:cs="Times New Roman"/>
        <w:noProof/>
        <w:color w:val="000000"/>
        <w:sz w:val="28"/>
        <w:szCs w:val="28"/>
      </w:rPr>
      <w:t>2</w:t>
    </w:r>
    <w:r>
      <w:rPr>
        <w:rFonts w:ascii="Times New Roman" w:eastAsia="Times New Roman" w:hAnsi="Times New Roman" w:cs="Times New Roman"/>
        <w:color w:val="000000"/>
        <w:sz w:val="28"/>
        <w:szCs w:val="28"/>
      </w:rPr>
      <w:fldChar w:fldCharType="end"/>
    </w:r>
  </w:p>
  <w:p w14:paraId="35630372" w14:textId="77777777" w:rsidR="0066031C" w:rsidRDefault="00775F58">
    <w:pPr>
      <w:pBdr>
        <w:top w:val="nil"/>
        <w:left w:val="nil"/>
        <w:bottom w:val="nil"/>
        <w:right w:val="nil"/>
        <w:between w:val="nil"/>
      </w:pBdr>
      <w:spacing w:after="0" w:line="240" w:lineRule="auto"/>
      <w:ind w:left="1" w:hanging="3"/>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Продовження додатка 1</w:t>
    </w:r>
  </w:p>
  <w:p w14:paraId="3288062E" w14:textId="77777777" w:rsidR="0066031C" w:rsidRDefault="0066031C">
    <w:pPr>
      <w:pBdr>
        <w:top w:val="nil"/>
        <w:left w:val="nil"/>
        <w:bottom w:val="nil"/>
        <w:right w:val="nil"/>
        <w:between w:val="nil"/>
      </w:pBdr>
      <w:spacing w:after="0" w:line="240" w:lineRule="auto"/>
      <w:ind w:left="1" w:hanging="3"/>
      <w:jc w:val="right"/>
      <w:rPr>
        <w:rFonts w:ascii="Times New Roman" w:eastAsia="Times New Roman" w:hAnsi="Times New Roman" w:cs="Times New Roman"/>
        <w:color w:val="000000"/>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31C"/>
    <w:rsid w:val="000B345D"/>
    <w:rsid w:val="00177B2C"/>
    <w:rsid w:val="001A75F5"/>
    <w:rsid w:val="001C10FA"/>
    <w:rsid w:val="003745C7"/>
    <w:rsid w:val="00447CB0"/>
    <w:rsid w:val="004B556A"/>
    <w:rsid w:val="00516606"/>
    <w:rsid w:val="0066031C"/>
    <w:rsid w:val="00775F58"/>
    <w:rsid w:val="008E6F35"/>
    <w:rsid w:val="00934A9D"/>
    <w:rsid w:val="00966135"/>
    <w:rsid w:val="00973E27"/>
    <w:rsid w:val="009C4FEC"/>
    <w:rsid w:val="00CE5679"/>
    <w:rsid w:val="00DA2132"/>
    <w:rsid w:val="00DA6926"/>
    <w:rsid w:val="00F83C1B"/>
  </w:rsids>
  <m:mathPr>
    <m:mathFont m:val="Cambria Math"/>
    <m:brkBin m:val="before"/>
    <m:brkBinSub m:val="--"/>
    <m:smallFrac m:val="0"/>
    <m:dispDef/>
    <m:lMargin m:val="0"/>
    <m:rMargin m:val="0"/>
    <m:defJc m:val="centerGroup"/>
    <m:wrapIndent m:val="1440"/>
    <m:intLim m:val="subSup"/>
    <m:naryLim m:val="undOvr"/>
  </m:mathPr>
  <w:themeFontLang w:val="ru-UA"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E4B979"/>
  <w15:docId w15:val="{0C74CB67-BA74-4858-BBB0-C2B49D80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ind w:leftChars="-1" w:left="-1" w:hangingChars="1" w:hanging="1"/>
      <w:textDirection w:val="btLr"/>
      <w:textAlignment w:val="top"/>
      <w:outlineLvl w:val="0"/>
    </w:pPr>
    <w:rPr>
      <w:position w:val="-1"/>
      <w:sz w:val="22"/>
      <w:szCs w:val="22"/>
      <w:lang w:eastAsia="uk-UA"/>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pPr>
      <w:suppressAutoHyphens/>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Normal (Web)"/>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rPr>
      <w:rFonts w:ascii="Times New Roman" w:eastAsia="Times New Roman" w:hAnsi="Times New Roman" w:cs="Times New Roman"/>
      <w:b/>
      <w:bCs/>
      <w:w w:val="100"/>
      <w:position w:val="-1"/>
      <w:sz w:val="27"/>
      <w:szCs w:val="27"/>
      <w:effect w:val="none"/>
      <w:vertAlign w:val="baseline"/>
      <w:cs w:val="0"/>
      <w:em w:val="none"/>
    </w:rPr>
  </w:style>
  <w:style w:type="paragraph" w:styleId="a6">
    <w:name w:val="header"/>
    <w:basedOn w:val="a"/>
    <w:qFormat/>
    <w:pPr>
      <w:spacing w:after="0" w:line="240" w:lineRule="auto"/>
    </w:pPr>
  </w:style>
  <w:style w:type="character" w:customStyle="1" w:styleId="a7">
    <w:name w:val="Верхний колонтитул Знак"/>
    <w:basedOn w:val="a0"/>
    <w:rPr>
      <w:w w:val="100"/>
      <w:position w:val="-1"/>
      <w:effect w:val="none"/>
      <w:vertAlign w:val="baseline"/>
      <w:cs w:val="0"/>
      <w:em w:val="none"/>
    </w:rPr>
  </w:style>
  <w:style w:type="paragraph" w:styleId="a8">
    <w:name w:val="footer"/>
    <w:basedOn w:val="a"/>
    <w:qFormat/>
    <w:pPr>
      <w:spacing w:after="0" w:line="240" w:lineRule="auto"/>
    </w:pPr>
  </w:style>
  <w:style w:type="character" w:customStyle="1" w:styleId="a9">
    <w:name w:val="Нижний колонтитул Знак"/>
    <w:basedOn w:val="a0"/>
    <w:rPr>
      <w:w w:val="100"/>
      <w:position w:val="-1"/>
      <w:effect w:val="none"/>
      <w:vertAlign w:val="baseline"/>
      <w:cs w:val="0"/>
      <w:em w:val="none"/>
    </w:rPr>
  </w:style>
  <w:style w:type="paragraph" w:styleId="aa">
    <w:name w:val="Balloon Text"/>
    <w:basedOn w:val="a"/>
    <w:qFormat/>
    <w:pPr>
      <w:spacing w:after="0" w:line="240" w:lineRule="auto"/>
    </w:pPr>
    <w:rPr>
      <w:rFonts w:ascii="Segoe UI" w:hAnsi="Segoe UI" w:cs="Segoe UI"/>
      <w:sz w:val="18"/>
      <w:szCs w:val="18"/>
    </w:rPr>
  </w:style>
  <w:style w:type="character" w:customStyle="1" w:styleId="ab">
    <w:name w:val="Текст выноски Знак"/>
    <w:rPr>
      <w:rFonts w:ascii="Segoe UI" w:hAnsi="Segoe UI" w:cs="Segoe UI"/>
      <w:w w:val="100"/>
      <w:position w:val="-1"/>
      <w:sz w:val="18"/>
      <w:szCs w:val="18"/>
      <w:effect w:val="none"/>
      <w:vertAlign w:val="baseline"/>
      <w:cs w:val="0"/>
      <w:em w:val="none"/>
    </w:rPr>
  </w:style>
  <w:style w:type="paragraph" w:customStyle="1" w:styleId="rvps7">
    <w:name w:val="rvps7"/>
    <w:basedOn w:val="a"/>
    <w:pPr>
      <w:spacing w:before="100" w:beforeAutospacing="1" w:after="100" w:afterAutospacing="1" w:line="240" w:lineRule="auto"/>
    </w:pPr>
    <w:rPr>
      <w:rFonts w:ascii="Times New Roman" w:hAnsi="Times New Roman"/>
      <w:sz w:val="24"/>
      <w:szCs w:val="24"/>
      <w:lang w:eastAsia="zh-CN"/>
    </w:rPr>
  </w:style>
  <w:style w:type="character" w:customStyle="1" w:styleId="rvts15">
    <w:name w:val="rvts15"/>
    <w:basedOn w:val="a0"/>
    <w:rPr>
      <w:w w:val="100"/>
      <w:position w:val="-1"/>
      <w:effect w:val="none"/>
      <w:vertAlign w:val="baseline"/>
      <w:cs w:val="0"/>
      <w:em w:val="none"/>
    </w:rPr>
  </w:style>
  <w:style w:type="paragraph" w:customStyle="1" w:styleId="rvps12">
    <w:name w:val="rvps12"/>
    <w:basedOn w:val="a"/>
    <w:pPr>
      <w:spacing w:before="100" w:beforeAutospacing="1" w:after="100" w:afterAutospacing="1" w:line="240" w:lineRule="auto"/>
    </w:pPr>
    <w:rPr>
      <w:rFonts w:ascii="Times New Roman" w:hAnsi="Times New Roman"/>
      <w:sz w:val="24"/>
      <w:szCs w:val="24"/>
      <w:lang w:eastAsia="zh-CN"/>
    </w:rPr>
  </w:style>
  <w:style w:type="character" w:customStyle="1" w:styleId="rvts9">
    <w:name w:val="rvts9"/>
    <w:basedOn w:val="a0"/>
    <w:rPr>
      <w:w w:val="100"/>
      <w:position w:val="-1"/>
      <w:effect w:val="none"/>
      <w:vertAlign w:val="baseline"/>
      <w:cs w:val="0"/>
      <w:em w:val="none"/>
    </w:rPr>
  </w:style>
  <w:style w:type="paragraph" w:customStyle="1" w:styleId="rvps14">
    <w:name w:val="rvps14"/>
    <w:basedOn w:val="a"/>
    <w:pPr>
      <w:spacing w:before="100" w:beforeAutospacing="1" w:after="100" w:afterAutospacing="1" w:line="240" w:lineRule="auto"/>
    </w:pPr>
    <w:rPr>
      <w:rFonts w:ascii="Times New Roman" w:hAnsi="Times New Roman"/>
      <w:sz w:val="24"/>
      <w:szCs w:val="24"/>
      <w:lang w:eastAsia="zh-CN"/>
    </w:rPr>
  </w:style>
  <w:style w:type="character" w:styleId="ac">
    <w:name w:val="Hyperlink"/>
    <w:qFormat/>
    <w:rPr>
      <w:color w:val="0000FF"/>
      <w:w w:val="100"/>
      <w:position w:val="-1"/>
      <w:u w:val="single"/>
      <w:effect w:val="none"/>
      <w:vertAlign w:val="baseline"/>
      <w:cs w:val="0"/>
      <w:em w:val="none"/>
    </w:r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top w:w="12" w:type="dxa"/>
        <w:left w:w="12" w:type="dxa"/>
        <w:bottom w:w="12" w:type="dxa"/>
        <w:right w:w="1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AIDzW6zhmMRGHfnQHZfDrz4z9Q==">AMUW2mX1zqacXGuef3JlFx9TYnzjQUQOctE6uGo++UXl/9VMEbdq3aDNIwpxpRnGK08MJghOV8xlGkgwwoQgZIP2YbheuacZF9d8QIhc8wCfTQ+WNURveh7ZVNmuMo1k9mLAEQW2wz6x7u5LzVmPDal8MQGB8Oouag==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317</Words>
  <Characters>1809</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a.koval</dc:creator>
  <cp:lastModifiedBy>Пользователь Windows</cp:lastModifiedBy>
  <cp:revision>8</cp:revision>
  <dcterms:created xsi:type="dcterms:W3CDTF">2022-07-01T14:08:00Z</dcterms:created>
  <dcterms:modified xsi:type="dcterms:W3CDTF">2022-07-08T09:55:00Z</dcterms:modified>
</cp:coreProperties>
</file>