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4D88D41" w14:textId="77777777" w:rsidR="0039003F" w:rsidRDefault="005566B0">
      <w:pPr>
        <w:widowControl/>
        <w:pBdr>
          <w:top w:val="nil"/>
          <w:left w:val="nil"/>
          <w:bottom w:val="nil"/>
          <w:right w:val="nil"/>
          <w:between w:val="nil"/>
        </w:pBdr>
        <w:jc w:val="center"/>
        <w:rPr>
          <w:rFonts w:ascii="Arial" w:eastAsia="Arial" w:hAnsi="Arial" w:cs="Arial"/>
          <w:color w:val="000000"/>
          <w:sz w:val="24"/>
          <w:szCs w:val="24"/>
        </w:rPr>
      </w:pPr>
      <w:bookmarkStart w:id="0" w:name="_heading=h.gjdgxs" w:colFirst="0" w:colLast="0"/>
      <w:bookmarkEnd w:id="0"/>
      <w:r>
        <w:rPr>
          <w:b/>
          <w:color w:val="000000"/>
          <w:sz w:val="28"/>
          <w:szCs w:val="28"/>
        </w:rPr>
        <w:t>АНАЛІЗ РЕГУЛЯТОРНОГО ВПЛИВУ</w:t>
      </w:r>
    </w:p>
    <w:p w14:paraId="02AFB688" w14:textId="16072241" w:rsidR="0039003F" w:rsidRDefault="005566B0">
      <w:pPr>
        <w:jc w:val="center"/>
        <w:rPr>
          <w:b/>
          <w:sz w:val="28"/>
          <w:szCs w:val="28"/>
        </w:rPr>
      </w:pPr>
      <w:bookmarkStart w:id="1" w:name="_heading=h.30j0zll" w:colFirst="0" w:colLast="0"/>
      <w:bookmarkEnd w:id="1"/>
      <w:r>
        <w:rPr>
          <w:b/>
          <w:sz w:val="28"/>
          <w:szCs w:val="28"/>
        </w:rPr>
        <w:t>до проекту Закону України «Про внесення змін до статті 17 Закону України «Про доступ до об'єктів будівництва, транспорту, електроенергетики з метою розвитку телекомунікаційних мереж» щодо спрощення розміщення об'єктів телекомунікаційної інфраструктури</w:t>
      </w:r>
    </w:p>
    <w:p w14:paraId="29FA3090" w14:textId="77777777" w:rsidR="0039003F" w:rsidRDefault="0039003F">
      <w:pPr>
        <w:widowControl/>
        <w:pBdr>
          <w:top w:val="nil"/>
          <w:left w:val="nil"/>
          <w:bottom w:val="nil"/>
          <w:right w:val="nil"/>
          <w:between w:val="nil"/>
        </w:pBdr>
        <w:jc w:val="center"/>
        <w:rPr>
          <w:b/>
          <w:color w:val="000000"/>
          <w:sz w:val="28"/>
          <w:szCs w:val="28"/>
        </w:rPr>
      </w:pPr>
    </w:p>
    <w:p w14:paraId="7E25BDC8"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sz w:val="28"/>
          <w:szCs w:val="28"/>
        </w:rPr>
      </w:pPr>
      <w:r>
        <w:rPr>
          <w:b/>
          <w:color w:val="000000"/>
          <w:sz w:val="28"/>
          <w:szCs w:val="28"/>
        </w:rPr>
        <w:t>І. Визначення проблеми</w:t>
      </w:r>
    </w:p>
    <w:p w14:paraId="08EE9EB7" w14:textId="77777777" w:rsidR="0039003F" w:rsidRDefault="005566B0">
      <w:pPr>
        <w:ind w:firstLine="709"/>
        <w:jc w:val="both"/>
        <w:rPr>
          <w:sz w:val="28"/>
          <w:szCs w:val="28"/>
        </w:rPr>
      </w:pPr>
      <w:r>
        <w:rPr>
          <w:sz w:val="28"/>
          <w:szCs w:val="28"/>
        </w:rPr>
        <w:t>7 лютого 2017 року Верховною Радою України було прийнято Закон України «Про доступ до об’єктів будівництва, транспорту, електроенергетики з метою розвитку телекомунікаційних мереж» (далі – Закон про Доступ), який визначає правові, економічні та організаційні засади забезпечення доступу до інфраструктури об’єктів будівництва, транспорту, електроенергетики, кабельної каналізації електрозв’язку, будинкової розподільної мережі для розташування технічних засобів телекомунікацій з метою забезпечення розвитку інформаційного суспільства в Україні, встановлює повноваження органів державної влади, органів місцевого самоврядування, визначає права та обов’язки осіб, які беруть участь у таких господарських відносинах.</w:t>
      </w:r>
    </w:p>
    <w:p w14:paraId="454B8C1A" w14:textId="77777777" w:rsidR="0039003F" w:rsidRDefault="005566B0">
      <w:pPr>
        <w:ind w:firstLine="709"/>
        <w:jc w:val="both"/>
        <w:rPr>
          <w:sz w:val="28"/>
          <w:szCs w:val="28"/>
        </w:rPr>
      </w:pPr>
      <w:r>
        <w:rPr>
          <w:sz w:val="28"/>
          <w:szCs w:val="28"/>
        </w:rPr>
        <w:t>Разом із цим, розташування операторами телекомунікацій технічних засобів телекомунікацій з метою надання споживачам (населенню та суб’єктам господарювання) телекомунікаційних послуг залишається проблематичним.</w:t>
      </w:r>
    </w:p>
    <w:p w14:paraId="7E4A8F11" w14:textId="77777777" w:rsidR="0039003F" w:rsidRDefault="005566B0">
      <w:pPr>
        <w:ind w:firstLine="709"/>
        <w:jc w:val="both"/>
        <w:rPr>
          <w:sz w:val="28"/>
          <w:szCs w:val="28"/>
        </w:rPr>
      </w:pPr>
      <w:r>
        <w:rPr>
          <w:sz w:val="28"/>
          <w:szCs w:val="28"/>
        </w:rPr>
        <w:t>Має місце неоднаковий підхід до виконання норм Закону про Доступ та нормативно-правових актів, прийнятих відповідно до цього Закону, зокрема, органами місцевого самоврядування не приймаються відповідні рішення про затвердження розмірів плати за доступ до об’єктів комунальної власності, окремі власники відмовляються укладати договори з доступу щодо нежитлових приміщень у зв'язку з тим, що такий тип об’єктів не передбачений статтею 17 Закону про Доступ.</w:t>
      </w:r>
    </w:p>
    <w:p w14:paraId="0D5F8646" w14:textId="77777777" w:rsidR="0039003F" w:rsidRDefault="005566B0">
      <w:pPr>
        <w:ind w:firstLine="709"/>
        <w:jc w:val="both"/>
        <w:rPr>
          <w:sz w:val="28"/>
          <w:szCs w:val="28"/>
        </w:rPr>
      </w:pPr>
      <w:r>
        <w:rPr>
          <w:sz w:val="28"/>
          <w:szCs w:val="28"/>
        </w:rPr>
        <w:t>Крім того, на момент написання Закону про Доступ у 2016 році мінімальна заробітна складала 1450 грн. У 2021 році цей показник складає 6000 грн. Фактично, максимальна гранична плата за доступ збільшилась більше ніж у два рази. Частиною 5 статті 17 Закону про Доступ передбачено, що відповідні методики визначення плати за доступ до елементів інфраструктури об’єкта доступу мають встановлювати перелік прямих витрат власника інфраструктури об’єкта доступу, пов’язаних з утриманням елементів інфраструктури об’єкта доступу, якими користується замовник. Однак, окремі власники інфраструктури встановлюють максимально граничну плату для отримання додаткового прибутку.</w:t>
      </w:r>
    </w:p>
    <w:p w14:paraId="79AA4769" w14:textId="2AF373E2" w:rsidR="002F5EFF" w:rsidRDefault="005566B0" w:rsidP="002F5EFF">
      <w:pPr>
        <w:ind w:firstLine="709"/>
        <w:jc w:val="both"/>
        <w:rPr>
          <w:sz w:val="28"/>
          <w:szCs w:val="28"/>
        </w:rPr>
      </w:pPr>
      <w:r>
        <w:rPr>
          <w:sz w:val="28"/>
          <w:szCs w:val="28"/>
        </w:rPr>
        <w:t>Зважаючи на викладене розгортання телекомунікаційних мереж, у тому числі у віддалені населені пункти країни є неможливим, а розмір плати за розташування телекомунікаційних мереж є надмірно високим.</w:t>
      </w:r>
      <w:r w:rsidR="00EB7A42" w:rsidRPr="00EB7A42">
        <w:rPr>
          <w:sz w:val="28"/>
          <w:szCs w:val="28"/>
          <w:lang w:val="ru-RU"/>
        </w:rPr>
        <w:t xml:space="preserve"> </w:t>
      </w:r>
      <w:r w:rsidR="002F5EFF" w:rsidRPr="002F5EFF">
        <w:rPr>
          <w:sz w:val="28"/>
          <w:szCs w:val="28"/>
        </w:rPr>
        <w:t xml:space="preserve">Недостатня </w:t>
      </w:r>
      <w:r w:rsidR="002F5EFF" w:rsidRPr="002F5EFF">
        <w:rPr>
          <w:sz w:val="28"/>
          <w:szCs w:val="28"/>
        </w:rPr>
        <w:lastRenderedPageBreak/>
        <w:t>визначеність окремих норм Закону про Доступ зумовлює різні підходи до його застосування, призводить до обмеження доступу операторів телекомунікацій до інфраструктури об’єктів доступу і відповідно обмежує право споживачів в отриманні доступу до телекомунікаційних послуг, спотворює конкуренцію.</w:t>
      </w:r>
    </w:p>
    <w:p w14:paraId="5B34BD0A" w14:textId="4ECB2E9C" w:rsidR="0039003F" w:rsidRDefault="005566B0">
      <w:pPr>
        <w:ind w:firstLine="709"/>
        <w:jc w:val="both"/>
        <w:rPr>
          <w:sz w:val="28"/>
          <w:szCs w:val="28"/>
        </w:rPr>
      </w:pPr>
      <w:r>
        <w:rPr>
          <w:sz w:val="28"/>
          <w:szCs w:val="28"/>
        </w:rPr>
        <w:t xml:space="preserve">Проектом Закону України «Про внесення змін до статті 17 Закону України «Про доступ до об'єктів будівництва, транспорту, електроенергетики з метою розвитку телекомунікаційних мереж» щодо спрощення розміщення об'єктів телекомунікаційної інфраструктури» (далі - проект Закону) пропонується внести зміни в статтю 17 Закону про Доступ та доповнити її наступними положеннями: </w:t>
      </w:r>
    </w:p>
    <w:p w14:paraId="530DA8C9" w14:textId="77777777" w:rsidR="00036708" w:rsidRPr="00AC1661" w:rsidRDefault="00036708" w:rsidP="00036708">
      <w:pPr>
        <w:numPr>
          <w:ilvl w:val="0"/>
          <w:numId w:val="1"/>
        </w:numPr>
        <w:shd w:val="clear" w:color="auto" w:fill="FFFFFF"/>
        <w:tabs>
          <w:tab w:val="left" w:pos="993"/>
        </w:tabs>
        <w:ind w:left="0" w:firstLine="709"/>
        <w:jc w:val="both"/>
        <w:rPr>
          <w:sz w:val="28"/>
          <w:szCs w:val="28"/>
        </w:rPr>
      </w:pPr>
      <w:r w:rsidRPr="00AC1661">
        <w:rPr>
          <w:sz w:val="28"/>
          <w:szCs w:val="28"/>
        </w:rPr>
        <w:t>до складу плати за доступ входять всі податки, збори та обов’язкові платежі, встановлені законодавством;</w:t>
      </w:r>
    </w:p>
    <w:p w14:paraId="4E110282" w14:textId="77777777" w:rsidR="00036708" w:rsidRPr="00AC1661" w:rsidRDefault="00036708" w:rsidP="00036708">
      <w:pPr>
        <w:numPr>
          <w:ilvl w:val="0"/>
          <w:numId w:val="1"/>
        </w:numPr>
        <w:shd w:val="clear" w:color="auto" w:fill="FFFFFF"/>
        <w:tabs>
          <w:tab w:val="left" w:pos="993"/>
        </w:tabs>
        <w:ind w:left="0" w:firstLine="709"/>
        <w:jc w:val="both"/>
        <w:rPr>
          <w:sz w:val="28"/>
          <w:szCs w:val="28"/>
        </w:rPr>
      </w:pPr>
      <w:r w:rsidRPr="00AC1661">
        <w:rPr>
          <w:sz w:val="28"/>
          <w:szCs w:val="28"/>
        </w:rPr>
        <w:t>встановлення обмеження щодо виготовлення одних технічних умов для отримання доступу до інфраструктури об'єкта доступу</w:t>
      </w:r>
      <w:r>
        <w:rPr>
          <w:sz w:val="28"/>
          <w:szCs w:val="28"/>
        </w:rPr>
        <w:t xml:space="preserve"> </w:t>
      </w:r>
      <w:r w:rsidRPr="009E2B33">
        <w:rPr>
          <w:sz w:val="28"/>
          <w:szCs w:val="28"/>
        </w:rPr>
        <w:t>на весь перелік елементів</w:t>
      </w:r>
      <w:r w:rsidRPr="00AC1661">
        <w:rPr>
          <w:sz w:val="28"/>
          <w:szCs w:val="28"/>
        </w:rPr>
        <w:t>;</w:t>
      </w:r>
    </w:p>
    <w:p w14:paraId="7D9A06BF" w14:textId="77777777" w:rsidR="00036708" w:rsidRPr="00AC1661" w:rsidRDefault="00036708" w:rsidP="00036708">
      <w:pPr>
        <w:numPr>
          <w:ilvl w:val="0"/>
          <w:numId w:val="1"/>
        </w:numPr>
        <w:shd w:val="clear" w:color="auto" w:fill="FFFFFF"/>
        <w:tabs>
          <w:tab w:val="left" w:pos="993"/>
        </w:tabs>
        <w:ind w:left="0" w:firstLine="709"/>
        <w:jc w:val="both"/>
        <w:rPr>
          <w:sz w:val="28"/>
          <w:szCs w:val="28"/>
        </w:rPr>
      </w:pPr>
      <w:r w:rsidRPr="00AC1661">
        <w:rPr>
          <w:sz w:val="28"/>
          <w:szCs w:val="28"/>
        </w:rPr>
        <w:t>встановлення  граничн</w:t>
      </w:r>
      <w:r w:rsidRPr="00AC1661">
        <w:rPr>
          <w:sz w:val="28"/>
          <w:szCs w:val="28"/>
          <w:lang w:val="ru-RU"/>
        </w:rPr>
        <w:t>их</w:t>
      </w:r>
      <w:r w:rsidRPr="00AC1661">
        <w:rPr>
          <w:sz w:val="28"/>
          <w:szCs w:val="28"/>
        </w:rPr>
        <w:t xml:space="preserve"> розмірів плати за доступ до опор зовнішнього освітлення та для будівель, споруд нежитлового призначення;</w:t>
      </w:r>
    </w:p>
    <w:p w14:paraId="1901BF35" w14:textId="531C7BE0" w:rsidR="00036708" w:rsidRPr="00AC1661" w:rsidRDefault="00036708" w:rsidP="00036708">
      <w:pPr>
        <w:numPr>
          <w:ilvl w:val="0"/>
          <w:numId w:val="1"/>
        </w:numPr>
        <w:shd w:val="clear" w:color="auto" w:fill="FFFFFF"/>
        <w:tabs>
          <w:tab w:val="left" w:pos="993"/>
        </w:tabs>
        <w:ind w:left="0" w:firstLine="709"/>
        <w:jc w:val="both"/>
        <w:rPr>
          <w:sz w:val="28"/>
          <w:szCs w:val="28"/>
        </w:rPr>
      </w:pPr>
      <w:r w:rsidRPr="00AC1661">
        <w:rPr>
          <w:sz w:val="28"/>
          <w:szCs w:val="28"/>
        </w:rPr>
        <w:t>введення граничного показника плати за доступ до елементів інфраструктури об’єктів електроенергетики - 0,05 відсотка мінімальної заробітної плати, для міст та районних центрів, які не знаходяться на територіях з особливим режимом мовлення - 0,1 відсотка мінімальної заробітної плати, для міст Київ та Севастополь - 0,2 відсотка мінімальної заробітної плати;</w:t>
      </w:r>
    </w:p>
    <w:p w14:paraId="7311046E" w14:textId="77777777" w:rsidR="00036708" w:rsidRPr="00AC1661" w:rsidRDefault="00036708" w:rsidP="00036708">
      <w:pPr>
        <w:numPr>
          <w:ilvl w:val="0"/>
          <w:numId w:val="1"/>
        </w:numPr>
        <w:shd w:val="clear" w:color="auto" w:fill="FFFFFF"/>
        <w:tabs>
          <w:tab w:val="left" w:pos="993"/>
        </w:tabs>
        <w:ind w:left="0" w:firstLine="709"/>
        <w:jc w:val="both"/>
        <w:rPr>
          <w:sz w:val="28"/>
          <w:szCs w:val="28"/>
        </w:rPr>
      </w:pPr>
      <w:r w:rsidRPr="00AC1661">
        <w:rPr>
          <w:sz w:val="28"/>
          <w:szCs w:val="28"/>
        </w:rPr>
        <w:t>у разі якщо власник інфраструктури об’єкта доступу не веде окремого обліку витрат на елементи інфраструктури об’єкта доступу, максимальний розмір плати за доступ має становити половину від граничного, передбаченого частиною сьомою статті 17 Закону про Доступ;</w:t>
      </w:r>
    </w:p>
    <w:p w14:paraId="6EE3E84B" w14:textId="77777777" w:rsidR="00036708" w:rsidRPr="00AC1661" w:rsidRDefault="00036708" w:rsidP="00036708">
      <w:pPr>
        <w:numPr>
          <w:ilvl w:val="0"/>
          <w:numId w:val="1"/>
        </w:numPr>
        <w:shd w:val="clear" w:color="auto" w:fill="FFFFFF"/>
        <w:tabs>
          <w:tab w:val="left" w:pos="993"/>
        </w:tabs>
        <w:ind w:left="0" w:firstLine="709"/>
        <w:jc w:val="both"/>
        <w:rPr>
          <w:sz w:val="28"/>
          <w:szCs w:val="28"/>
        </w:rPr>
      </w:pPr>
      <w:r w:rsidRPr="00AC1661">
        <w:rPr>
          <w:sz w:val="28"/>
          <w:szCs w:val="28"/>
        </w:rPr>
        <w:t>розмір періодичної плати за доступ до елементів інфраструктури об’єктів електроенергетики, у разі відсутності окремого обліку, визначається шляхом пропорційного розподілу витрат на утримання елементів інфраструктури об’єкта електроенергетики, пов’язаних з наданим доступом, між усіма замовниками, які використовують одні й ті самі елементи інфраструктури об’єктів електроенергетики. Встановлюється механізм такого розподілу;</w:t>
      </w:r>
    </w:p>
    <w:p w14:paraId="38537AA9" w14:textId="5FDA1070" w:rsidR="00036708" w:rsidRPr="00AC1661" w:rsidRDefault="00036708" w:rsidP="00036708">
      <w:pPr>
        <w:numPr>
          <w:ilvl w:val="0"/>
          <w:numId w:val="1"/>
        </w:numPr>
        <w:shd w:val="clear" w:color="auto" w:fill="FFFFFF"/>
        <w:tabs>
          <w:tab w:val="left" w:pos="993"/>
        </w:tabs>
        <w:ind w:left="0" w:firstLine="709"/>
        <w:jc w:val="both"/>
        <w:rPr>
          <w:sz w:val="28"/>
          <w:szCs w:val="28"/>
        </w:rPr>
      </w:pPr>
      <w:r w:rsidRPr="00AC1661">
        <w:rPr>
          <w:sz w:val="28"/>
          <w:szCs w:val="28"/>
        </w:rPr>
        <w:t xml:space="preserve">у </w:t>
      </w:r>
      <w:r w:rsidRPr="00250526">
        <w:rPr>
          <w:sz w:val="28"/>
          <w:szCs w:val="28"/>
        </w:rPr>
        <w:t xml:space="preserve">разі невстановлення власником інфраструктури об’єкта доступу або виконавчим органом сільської, селищної, міської ради розміру плати за доступ до елементів інфраструктури розмір плати за доступ до елементів інфраструктури об’єкта доступу у договорі з доступу визначається у розмірі, що не перевищує </w:t>
      </w:r>
      <w:r w:rsidRPr="00AC1661">
        <w:rPr>
          <w:sz w:val="28"/>
          <w:szCs w:val="28"/>
        </w:rPr>
        <w:t xml:space="preserve">50 відсотків від </w:t>
      </w:r>
      <w:r w:rsidR="00726F66">
        <w:rPr>
          <w:sz w:val="28"/>
          <w:szCs w:val="28"/>
        </w:rPr>
        <w:t xml:space="preserve">визначеного в </w:t>
      </w:r>
      <w:r w:rsidRPr="00AC1661">
        <w:rPr>
          <w:sz w:val="28"/>
          <w:szCs w:val="28"/>
        </w:rPr>
        <w:t>частин</w:t>
      </w:r>
      <w:r w:rsidR="00726F66">
        <w:rPr>
          <w:sz w:val="28"/>
          <w:szCs w:val="28"/>
        </w:rPr>
        <w:t>і</w:t>
      </w:r>
      <w:r w:rsidRPr="00AC1661">
        <w:rPr>
          <w:sz w:val="28"/>
          <w:szCs w:val="28"/>
        </w:rPr>
        <w:t xml:space="preserve"> сьом</w:t>
      </w:r>
      <w:r w:rsidR="00726F66">
        <w:rPr>
          <w:sz w:val="28"/>
          <w:szCs w:val="28"/>
        </w:rPr>
        <w:t>ій</w:t>
      </w:r>
      <w:r w:rsidRPr="00AC1661">
        <w:rPr>
          <w:sz w:val="28"/>
          <w:szCs w:val="28"/>
        </w:rPr>
        <w:t xml:space="preserve"> статті 17 Закону про Доступ.</w:t>
      </w:r>
    </w:p>
    <w:p w14:paraId="4B0ED183" w14:textId="77777777" w:rsidR="0039003F" w:rsidRDefault="0039003F">
      <w:pPr>
        <w:ind w:firstLine="709"/>
        <w:jc w:val="both"/>
        <w:rPr>
          <w:sz w:val="28"/>
          <w:szCs w:val="28"/>
        </w:rPr>
      </w:pPr>
    </w:p>
    <w:p w14:paraId="12885DDE" w14:textId="77777777" w:rsidR="0039003F" w:rsidRDefault="005566B0">
      <w:pPr>
        <w:ind w:firstLine="709"/>
        <w:jc w:val="both"/>
        <w:rPr>
          <w:sz w:val="28"/>
          <w:szCs w:val="28"/>
        </w:rPr>
      </w:pPr>
      <w:r>
        <w:rPr>
          <w:sz w:val="28"/>
          <w:szCs w:val="28"/>
        </w:rPr>
        <w:t>Основні групи, на які впливає проблема:</w:t>
      </w:r>
    </w:p>
    <w:p w14:paraId="1485C7DF" w14:textId="77777777" w:rsidR="0039003F" w:rsidRDefault="0039003F">
      <w:pPr>
        <w:rPr>
          <w:sz w:val="16"/>
          <w:szCs w:val="16"/>
        </w:rPr>
      </w:pPr>
    </w:p>
    <w:tbl>
      <w:tblPr>
        <w:tblStyle w:val="afff4"/>
        <w:tblW w:w="9639" w:type="dxa"/>
        <w:tblInd w:w="-5" w:type="dxa"/>
        <w:tblLayout w:type="fixed"/>
        <w:tblLook w:val="0000" w:firstRow="0" w:lastRow="0" w:firstColumn="0" w:lastColumn="0" w:noHBand="0" w:noVBand="0"/>
      </w:tblPr>
      <w:tblGrid>
        <w:gridCol w:w="6555"/>
        <w:gridCol w:w="1605"/>
        <w:gridCol w:w="1479"/>
      </w:tblGrid>
      <w:tr w:rsidR="0039003F" w14:paraId="3AC970E7" w14:textId="77777777">
        <w:tc>
          <w:tcPr>
            <w:tcW w:w="6555" w:type="dxa"/>
            <w:tcBorders>
              <w:top w:val="single" w:sz="4" w:space="0" w:color="000000"/>
              <w:left w:val="single" w:sz="4" w:space="0" w:color="000000"/>
              <w:bottom w:val="single" w:sz="4" w:space="0" w:color="000000"/>
            </w:tcBorders>
            <w:shd w:val="clear" w:color="auto" w:fill="auto"/>
          </w:tcPr>
          <w:p w14:paraId="6B516EA8"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center"/>
              <w:rPr>
                <w:rFonts w:ascii="Courier New" w:eastAsia="Courier New" w:hAnsi="Courier New" w:cs="Courier New"/>
                <w:color w:val="000000"/>
                <w:sz w:val="28"/>
                <w:szCs w:val="28"/>
              </w:rPr>
            </w:pPr>
            <w:r>
              <w:rPr>
                <w:color w:val="000000"/>
                <w:sz w:val="28"/>
                <w:szCs w:val="28"/>
              </w:rPr>
              <w:t>Групи (підгрупи)</w:t>
            </w:r>
          </w:p>
        </w:tc>
        <w:tc>
          <w:tcPr>
            <w:tcW w:w="1605" w:type="dxa"/>
            <w:tcBorders>
              <w:top w:val="single" w:sz="4" w:space="0" w:color="000000"/>
              <w:left w:val="single" w:sz="4" w:space="0" w:color="000000"/>
              <w:bottom w:val="single" w:sz="4" w:space="0" w:color="000000"/>
            </w:tcBorders>
            <w:shd w:val="clear" w:color="auto" w:fill="auto"/>
          </w:tcPr>
          <w:p w14:paraId="2E0F0929"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rFonts w:ascii="Courier New" w:eastAsia="Courier New" w:hAnsi="Courier New" w:cs="Courier New"/>
                <w:color w:val="000000"/>
                <w:sz w:val="28"/>
                <w:szCs w:val="28"/>
              </w:rPr>
            </w:pPr>
            <w:r>
              <w:rPr>
                <w:color w:val="000000"/>
                <w:sz w:val="28"/>
                <w:szCs w:val="28"/>
              </w:rPr>
              <w:t>Так</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11DF338D"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284"/>
              <w:jc w:val="center"/>
              <w:rPr>
                <w:rFonts w:ascii="Courier New" w:eastAsia="Courier New" w:hAnsi="Courier New" w:cs="Courier New"/>
                <w:color w:val="000000"/>
                <w:sz w:val="28"/>
                <w:szCs w:val="28"/>
              </w:rPr>
            </w:pPr>
            <w:r>
              <w:rPr>
                <w:color w:val="000000"/>
                <w:sz w:val="28"/>
                <w:szCs w:val="28"/>
              </w:rPr>
              <w:t>Ні</w:t>
            </w:r>
          </w:p>
        </w:tc>
      </w:tr>
      <w:tr w:rsidR="0039003F" w14:paraId="0E4B4657" w14:textId="77777777">
        <w:tc>
          <w:tcPr>
            <w:tcW w:w="6555" w:type="dxa"/>
            <w:tcBorders>
              <w:top w:val="single" w:sz="4" w:space="0" w:color="000000"/>
              <w:left w:val="single" w:sz="4" w:space="0" w:color="000000"/>
              <w:bottom w:val="single" w:sz="4" w:space="0" w:color="000000"/>
            </w:tcBorders>
            <w:shd w:val="clear" w:color="auto" w:fill="auto"/>
          </w:tcPr>
          <w:p w14:paraId="5CFD2F19"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rPr>
                <w:rFonts w:ascii="Courier New" w:eastAsia="Courier New" w:hAnsi="Courier New" w:cs="Courier New"/>
                <w:color w:val="000000"/>
                <w:sz w:val="28"/>
                <w:szCs w:val="28"/>
              </w:rPr>
            </w:pPr>
            <w:r>
              <w:rPr>
                <w:color w:val="000000"/>
                <w:sz w:val="28"/>
                <w:szCs w:val="28"/>
              </w:rPr>
              <w:t>Громадяни</w:t>
            </w:r>
          </w:p>
        </w:tc>
        <w:tc>
          <w:tcPr>
            <w:tcW w:w="1605" w:type="dxa"/>
            <w:tcBorders>
              <w:top w:val="single" w:sz="4" w:space="0" w:color="000000"/>
              <w:left w:val="single" w:sz="4" w:space="0" w:color="000000"/>
              <w:bottom w:val="single" w:sz="4" w:space="0" w:color="000000"/>
            </w:tcBorders>
            <w:shd w:val="clear" w:color="auto" w:fill="auto"/>
          </w:tcPr>
          <w:p w14:paraId="7804C279"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rFonts w:ascii="Courier New" w:eastAsia="Courier New" w:hAnsi="Courier New" w:cs="Courier New"/>
                <w:color w:val="000000"/>
                <w:sz w:val="28"/>
                <w:szCs w:val="28"/>
              </w:rPr>
            </w:pPr>
            <w:r>
              <w:rPr>
                <w:rFonts w:ascii="Courier New" w:eastAsia="Courier New" w:hAnsi="Courier New" w:cs="Courier New"/>
                <w:color w:val="000000"/>
                <w:sz w:val="28"/>
                <w:szCs w:val="28"/>
              </w:rPr>
              <w:t>+</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69A5877A" w14:textId="77777777" w:rsidR="0039003F" w:rsidRDefault="0039003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284"/>
              <w:jc w:val="both"/>
              <w:rPr>
                <w:rFonts w:ascii="Courier New" w:eastAsia="Courier New" w:hAnsi="Courier New" w:cs="Courier New"/>
                <w:color w:val="000000"/>
                <w:sz w:val="28"/>
                <w:szCs w:val="28"/>
              </w:rPr>
            </w:pPr>
          </w:p>
        </w:tc>
      </w:tr>
      <w:tr w:rsidR="0039003F" w14:paraId="4F9D3806" w14:textId="77777777">
        <w:tc>
          <w:tcPr>
            <w:tcW w:w="6555" w:type="dxa"/>
            <w:tcBorders>
              <w:top w:val="single" w:sz="4" w:space="0" w:color="000000"/>
              <w:left w:val="single" w:sz="4" w:space="0" w:color="000000"/>
              <w:bottom w:val="single" w:sz="4" w:space="0" w:color="000000"/>
            </w:tcBorders>
            <w:shd w:val="clear" w:color="auto" w:fill="auto"/>
          </w:tcPr>
          <w:p w14:paraId="78D6241C"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rPr>
                <w:rFonts w:ascii="Courier New" w:eastAsia="Courier New" w:hAnsi="Courier New" w:cs="Courier New"/>
                <w:color w:val="000000"/>
                <w:sz w:val="28"/>
                <w:szCs w:val="28"/>
              </w:rPr>
            </w:pPr>
            <w:r>
              <w:rPr>
                <w:color w:val="000000"/>
                <w:sz w:val="28"/>
                <w:szCs w:val="28"/>
              </w:rPr>
              <w:t>Держава</w:t>
            </w:r>
          </w:p>
        </w:tc>
        <w:tc>
          <w:tcPr>
            <w:tcW w:w="1605" w:type="dxa"/>
            <w:tcBorders>
              <w:top w:val="single" w:sz="4" w:space="0" w:color="000000"/>
              <w:left w:val="single" w:sz="4" w:space="0" w:color="000000"/>
              <w:bottom w:val="single" w:sz="4" w:space="0" w:color="000000"/>
            </w:tcBorders>
            <w:shd w:val="clear" w:color="auto" w:fill="auto"/>
          </w:tcPr>
          <w:p w14:paraId="4A344254"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rFonts w:ascii="Courier New" w:eastAsia="Courier New" w:hAnsi="Courier New" w:cs="Courier New"/>
                <w:color w:val="000000"/>
                <w:sz w:val="28"/>
                <w:szCs w:val="28"/>
              </w:rPr>
            </w:pPr>
            <w:r>
              <w:rPr>
                <w:color w:val="000000"/>
                <w:sz w:val="28"/>
                <w:szCs w:val="28"/>
              </w:rPr>
              <w:t>+</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51E1699B" w14:textId="77777777" w:rsidR="0039003F" w:rsidRDefault="0039003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284"/>
              <w:jc w:val="both"/>
              <w:rPr>
                <w:color w:val="000000"/>
                <w:sz w:val="28"/>
                <w:szCs w:val="28"/>
              </w:rPr>
            </w:pPr>
          </w:p>
        </w:tc>
      </w:tr>
      <w:tr w:rsidR="0039003F" w14:paraId="4601A230" w14:textId="77777777">
        <w:tc>
          <w:tcPr>
            <w:tcW w:w="6555" w:type="dxa"/>
            <w:tcBorders>
              <w:top w:val="single" w:sz="4" w:space="0" w:color="000000"/>
              <w:left w:val="single" w:sz="4" w:space="0" w:color="000000"/>
              <w:bottom w:val="single" w:sz="4" w:space="0" w:color="000000"/>
            </w:tcBorders>
            <w:shd w:val="clear" w:color="auto" w:fill="auto"/>
          </w:tcPr>
          <w:p w14:paraId="5D7B1A6A"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rPr>
                <w:rFonts w:ascii="Courier New" w:eastAsia="Courier New" w:hAnsi="Courier New" w:cs="Courier New"/>
                <w:color w:val="000000"/>
                <w:sz w:val="28"/>
                <w:szCs w:val="28"/>
              </w:rPr>
            </w:pPr>
            <w:r>
              <w:rPr>
                <w:color w:val="000000"/>
                <w:sz w:val="28"/>
                <w:szCs w:val="28"/>
              </w:rPr>
              <w:t>Суб’єкти господарювання</w:t>
            </w:r>
          </w:p>
        </w:tc>
        <w:tc>
          <w:tcPr>
            <w:tcW w:w="1605" w:type="dxa"/>
            <w:tcBorders>
              <w:top w:val="single" w:sz="4" w:space="0" w:color="000000"/>
              <w:left w:val="single" w:sz="4" w:space="0" w:color="000000"/>
              <w:bottom w:val="single" w:sz="4" w:space="0" w:color="000000"/>
            </w:tcBorders>
            <w:shd w:val="clear" w:color="auto" w:fill="auto"/>
          </w:tcPr>
          <w:p w14:paraId="56B14559"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center"/>
              <w:rPr>
                <w:rFonts w:ascii="Courier New" w:eastAsia="Courier New" w:hAnsi="Courier New" w:cs="Courier New"/>
                <w:color w:val="000000"/>
                <w:sz w:val="28"/>
                <w:szCs w:val="28"/>
              </w:rPr>
            </w:pPr>
            <w:r>
              <w:rPr>
                <w:color w:val="000000"/>
                <w:sz w:val="28"/>
                <w:szCs w:val="28"/>
              </w:rPr>
              <w:t>+</w:t>
            </w:r>
          </w:p>
        </w:tc>
        <w:tc>
          <w:tcPr>
            <w:tcW w:w="1479" w:type="dxa"/>
            <w:tcBorders>
              <w:top w:val="single" w:sz="4" w:space="0" w:color="000000"/>
              <w:left w:val="single" w:sz="4" w:space="0" w:color="000000"/>
              <w:bottom w:val="single" w:sz="4" w:space="0" w:color="000000"/>
              <w:right w:val="single" w:sz="4" w:space="0" w:color="000000"/>
            </w:tcBorders>
            <w:shd w:val="clear" w:color="auto" w:fill="auto"/>
          </w:tcPr>
          <w:p w14:paraId="69BE564C" w14:textId="77777777" w:rsidR="0039003F" w:rsidRDefault="0039003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284"/>
              <w:jc w:val="both"/>
              <w:rPr>
                <w:color w:val="000000"/>
                <w:sz w:val="28"/>
                <w:szCs w:val="28"/>
              </w:rPr>
            </w:pPr>
          </w:p>
        </w:tc>
      </w:tr>
    </w:tbl>
    <w:p w14:paraId="47B7D996" w14:textId="77777777" w:rsidR="0039003F" w:rsidRDefault="0039003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firstLine="709"/>
        <w:jc w:val="both"/>
        <w:rPr>
          <w:color w:val="000000"/>
          <w:sz w:val="16"/>
          <w:szCs w:val="16"/>
        </w:rPr>
      </w:pPr>
    </w:p>
    <w:p w14:paraId="73233AA3"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lastRenderedPageBreak/>
        <w:t xml:space="preserve">Проблема, яку пропонується врегулювати </w:t>
      </w:r>
      <w:r>
        <w:rPr>
          <w:sz w:val="28"/>
          <w:szCs w:val="28"/>
        </w:rPr>
        <w:t>у</w:t>
      </w:r>
      <w:r>
        <w:rPr>
          <w:color w:val="000000"/>
          <w:sz w:val="28"/>
          <w:szCs w:val="28"/>
        </w:rPr>
        <w:t xml:space="preserve"> результаті прийняття акта, не може бути розв’язана за д</w:t>
      </w:r>
      <w:r>
        <w:rPr>
          <w:color w:val="000000"/>
          <w:sz w:val="28"/>
          <w:szCs w:val="28"/>
          <w:highlight w:val="white"/>
        </w:rPr>
        <w:t xml:space="preserve">опомогою ринкових механізмів, оскільки її розв’язання можливе лише шляхом </w:t>
      </w:r>
      <w:r>
        <w:rPr>
          <w:sz w:val="28"/>
          <w:szCs w:val="28"/>
          <w:highlight w:val="white"/>
        </w:rPr>
        <w:t>законодавчого регулювання питань оплати у статті 17 Закону про Доступ</w:t>
      </w:r>
      <w:r>
        <w:rPr>
          <w:color w:val="000000"/>
          <w:sz w:val="28"/>
          <w:szCs w:val="28"/>
          <w:highlight w:val="white"/>
        </w:rPr>
        <w:t xml:space="preserve"> </w:t>
      </w:r>
      <w:r>
        <w:rPr>
          <w:sz w:val="28"/>
          <w:szCs w:val="28"/>
        </w:rPr>
        <w:t>з метою спрощення розміщення об’єктів телекомунікаційної інфраструктури.</w:t>
      </w:r>
    </w:p>
    <w:p w14:paraId="298D75AE"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 xml:space="preserve">Проблема </w:t>
      </w:r>
      <w:r>
        <w:rPr>
          <w:color w:val="000000"/>
          <w:sz w:val="28"/>
          <w:szCs w:val="28"/>
          <w:highlight w:val="white"/>
        </w:rPr>
        <w:t xml:space="preserve">не може бути розв’язана за допомогою </w:t>
      </w:r>
      <w:r>
        <w:rPr>
          <w:sz w:val="28"/>
          <w:szCs w:val="28"/>
          <w:highlight w:val="white"/>
        </w:rPr>
        <w:t>чинн</w:t>
      </w:r>
      <w:r>
        <w:rPr>
          <w:color w:val="000000"/>
          <w:sz w:val="28"/>
          <w:szCs w:val="28"/>
          <w:highlight w:val="white"/>
        </w:rPr>
        <w:t>их регуляторних актів, оскільки на даний час відсутні такі</w:t>
      </w:r>
      <w:r>
        <w:rPr>
          <w:sz w:val="28"/>
          <w:szCs w:val="28"/>
          <w:highlight w:val="white"/>
        </w:rPr>
        <w:t>, які</w:t>
      </w:r>
      <w:r>
        <w:rPr>
          <w:color w:val="000000"/>
          <w:sz w:val="28"/>
          <w:szCs w:val="28"/>
          <w:highlight w:val="white"/>
        </w:rPr>
        <w:t xml:space="preserve"> передбачають </w:t>
      </w:r>
      <w:r>
        <w:rPr>
          <w:sz w:val="28"/>
          <w:szCs w:val="28"/>
          <w:highlight w:val="white"/>
        </w:rPr>
        <w:t>альтернативний порядок отримання доступу до об’єктів інфраструктури</w:t>
      </w:r>
      <w:r>
        <w:rPr>
          <w:sz w:val="28"/>
          <w:szCs w:val="28"/>
        </w:rPr>
        <w:t>.</w:t>
      </w:r>
    </w:p>
    <w:p w14:paraId="32E84E6E" w14:textId="77777777" w:rsidR="0039003F" w:rsidRDefault="0039003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highlight w:val="white"/>
        </w:rPr>
      </w:pPr>
    </w:p>
    <w:p w14:paraId="1515B0F9" w14:textId="77777777" w:rsidR="0039003F" w:rsidRDefault="005566B0">
      <w:pPr>
        <w:widowControl/>
        <w:ind w:firstLine="709"/>
        <w:jc w:val="both"/>
      </w:pPr>
      <w:r>
        <w:rPr>
          <w:b/>
          <w:sz w:val="28"/>
          <w:szCs w:val="28"/>
        </w:rPr>
        <w:t>ІІ. Цілі державного регулювання</w:t>
      </w:r>
    </w:p>
    <w:p w14:paraId="7C330038" w14:textId="3CF0EDD4" w:rsidR="0039003F" w:rsidRDefault="005566B0">
      <w:pPr>
        <w:ind w:firstLine="709"/>
        <w:jc w:val="both"/>
        <w:rPr>
          <w:sz w:val="28"/>
          <w:szCs w:val="28"/>
        </w:rPr>
      </w:pPr>
      <w:r>
        <w:rPr>
          <w:sz w:val="28"/>
          <w:szCs w:val="28"/>
        </w:rPr>
        <w:t xml:space="preserve">Проект Закону розроблено з метою спрощення здійснення розрахунків та отримання доступу до інфраструктури об’єктів доступу для розміщення об'єктів телекомунікаційної інфраструктури операторів, провайдерів телекомунікацій, а також на </w:t>
      </w:r>
      <w:r w:rsidR="00AB5E33">
        <w:rPr>
          <w:sz w:val="28"/>
          <w:szCs w:val="28"/>
        </w:rPr>
        <w:t xml:space="preserve">виконання </w:t>
      </w:r>
      <w:r w:rsidR="00AB5E33" w:rsidRPr="00A42949">
        <w:rPr>
          <w:sz w:val="28"/>
          <w:szCs w:val="28"/>
        </w:rPr>
        <w:t xml:space="preserve">підпункту 2.2 пункту 2 розділу </w:t>
      </w:r>
      <w:r>
        <w:rPr>
          <w:sz w:val="28"/>
          <w:szCs w:val="28"/>
        </w:rPr>
        <w:t>«Довгострокові пріоритети діяльності Уряду» Програми діяльності Кабінету Міністрів України, затвердженої постановою Кабінету Міністрів України від 12.06.2020 № 471, щодо розвитку мереж доступу до Інтернету, створення умов для мобільних технологій четвертого та п’ятого поколінь, та пункту 1 доручення Прем’єр-міністра України від 07.10.2020 № 41636/0/1-20 щодо прискорення розвитку мережі широкосмугового доступу до Інтернету.</w:t>
      </w:r>
    </w:p>
    <w:p w14:paraId="4B9C5449" w14:textId="77777777" w:rsidR="0039003F" w:rsidRDefault="0039003F">
      <w:pPr>
        <w:ind w:firstLine="851"/>
        <w:jc w:val="both"/>
        <w:rPr>
          <w:sz w:val="28"/>
          <w:szCs w:val="28"/>
        </w:rPr>
      </w:pPr>
    </w:p>
    <w:p w14:paraId="475A5CBF"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Pr>
          <w:b/>
          <w:color w:val="000000"/>
          <w:sz w:val="28"/>
          <w:szCs w:val="28"/>
        </w:rPr>
        <w:t>ІІІ. Визначення та оцінка альтернативних способів досягнення цілей</w:t>
      </w:r>
    </w:p>
    <w:p w14:paraId="70A4D843" w14:textId="77777777" w:rsidR="0039003F" w:rsidRDefault="005566B0">
      <w:pPr>
        <w:widowControl/>
        <w:numPr>
          <w:ilvl w:val="0"/>
          <w:numId w:val="2"/>
        </w:numPr>
        <w:pBdr>
          <w:top w:val="nil"/>
          <w:left w:val="nil"/>
          <w:bottom w:val="nil"/>
          <w:right w:val="nil"/>
          <w:between w:val="nil"/>
        </w:pBdr>
        <w:tabs>
          <w:tab w:val="left" w:pos="993"/>
          <w:tab w:val="left" w:pos="1276"/>
        </w:tabs>
        <w:ind w:left="0" w:firstLine="709"/>
        <w:jc w:val="both"/>
      </w:pPr>
      <w:r>
        <w:rPr>
          <w:color w:val="000000"/>
          <w:sz w:val="28"/>
          <w:szCs w:val="28"/>
        </w:rPr>
        <w:t>Визначення альтернативних способів</w:t>
      </w:r>
    </w:p>
    <w:p w14:paraId="7F096A1D" w14:textId="77777777" w:rsidR="0039003F" w:rsidRDefault="005566B0">
      <w:pPr>
        <w:widowControl/>
        <w:pBdr>
          <w:top w:val="nil"/>
          <w:left w:val="nil"/>
          <w:bottom w:val="nil"/>
          <w:right w:val="nil"/>
          <w:between w:val="nil"/>
        </w:pBdr>
        <w:ind w:firstLine="709"/>
        <w:jc w:val="both"/>
        <w:rPr>
          <w:color w:val="000000"/>
          <w:sz w:val="28"/>
          <w:szCs w:val="28"/>
        </w:rPr>
      </w:pPr>
      <w:r>
        <w:rPr>
          <w:color w:val="000000"/>
          <w:sz w:val="28"/>
          <w:szCs w:val="28"/>
        </w:rPr>
        <w:t>Під час розробки проекту Закону було розглянуто такі альтернативні способи досягнення визначених цілей державного регулювання:</w:t>
      </w:r>
    </w:p>
    <w:p w14:paraId="2738CA68" w14:textId="77777777" w:rsidR="0039003F" w:rsidRDefault="0039003F">
      <w:pPr>
        <w:widowControl/>
        <w:pBdr>
          <w:top w:val="nil"/>
          <w:left w:val="nil"/>
          <w:bottom w:val="nil"/>
          <w:right w:val="nil"/>
          <w:between w:val="nil"/>
        </w:pBdr>
        <w:ind w:left="-284" w:right="140" w:firstLine="709"/>
        <w:jc w:val="both"/>
        <w:rPr>
          <w:color w:val="000000"/>
          <w:sz w:val="16"/>
          <w:szCs w:val="16"/>
        </w:rPr>
      </w:pPr>
    </w:p>
    <w:tbl>
      <w:tblPr>
        <w:tblStyle w:val="afff5"/>
        <w:tblW w:w="9639" w:type="dxa"/>
        <w:tblInd w:w="-5" w:type="dxa"/>
        <w:tblLayout w:type="fixed"/>
        <w:tblLook w:val="0000" w:firstRow="0" w:lastRow="0" w:firstColumn="0" w:lastColumn="0" w:noHBand="0" w:noVBand="0"/>
      </w:tblPr>
      <w:tblGrid>
        <w:gridCol w:w="2065"/>
        <w:gridCol w:w="7574"/>
      </w:tblGrid>
      <w:tr w:rsidR="0039003F" w14:paraId="4A3E46FB" w14:textId="77777777">
        <w:tc>
          <w:tcPr>
            <w:tcW w:w="2065" w:type="dxa"/>
            <w:tcBorders>
              <w:top w:val="single" w:sz="4" w:space="0" w:color="000000"/>
              <w:left w:val="single" w:sz="4" w:space="0" w:color="000000"/>
              <w:bottom w:val="single" w:sz="4" w:space="0" w:color="000000"/>
            </w:tcBorders>
            <w:shd w:val="clear" w:color="auto" w:fill="auto"/>
          </w:tcPr>
          <w:p w14:paraId="48B9B29A" w14:textId="77777777" w:rsidR="0039003F" w:rsidRDefault="005566B0">
            <w:pPr>
              <w:widowControl/>
              <w:pBdr>
                <w:top w:val="nil"/>
                <w:left w:val="nil"/>
                <w:bottom w:val="nil"/>
                <w:right w:val="nil"/>
                <w:between w:val="nil"/>
              </w:pBdr>
              <w:ind w:right="140"/>
              <w:jc w:val="center"/>
              <w:rPr>
                <w:color w:val="000000"/>
                <w:sz w:val="28"/>
                <w:szCs w:val="28"/>
              </w:rPr>
            </w:pPr>
            <w:r>
              <w:rPr>
                <w:color w:val="000000"/>
                <w:sz w:val="28"/>
                <w:szCs w:val="28"/>
              </w:rPr>
              <w:t>Вид альтернатив</w:t>
            </w:r>
          </w:p>
        </w:tc>
        <w:tc>
          <w:tcPr>
            <w:tcW w:w="7574" w:type="dxa"/>
            <w:tcBorders>
              <w:top w:val="single" w:sz="4" w:space="0" w:color="000000"/>
              <w:left w:val="single" w:sz="4" w:space="0" w:color="000000"/>
              <w:bottom w:val="single" w:sz="4" w:space="0" w:color="000000"/>
              <w:right w:val="single" w:sz="4" w:space="0" w:color="000000"/>
            </w:tcBorders>
            <w:shd w:val="clear" w:color="auto" w:fill="auto"/>
          </w:tcPr>
          <w:p w14:paraId="170587FA" w14:textId="77777777" w:rsidR="0039003F" w:rsidRDefault="005566B0">
            <w:pPr>
              <w:widowControl/>
              <w:pBdr>
                <w:top w:val="nil"/>
                <w:left w:val="nil"/>
                <w:bottom w:val="nil"/>
                <w:right w:val="nil"/>
                <w:between w:val="nil"/>
              </w:pBdr>
              <w:tabs>
                <w:tab w:val="left" w:pos="1406"/>
              </w:tabs>
              <w:ind w:left="-284" w:right="140"/>
              <w:jc w:val="center"/>
              <w:rPr>
                <w:color w:val="000000"/>
                <w:sz w:val="28"/>
                <w:szCs w:val="28"/>
              </w:rPr>
            </w:pPr>
            <w:r>
              <w:rPr>
                <w:color w:val="000000"/>
                <w:sz w:val="28"/>
                <w:szCs w:val="28"/>
              </w:rPr>
              <w:t>Опис альтернативи</w:t>
            </w:r>
          </w:p>
        </w:tc>
      </w:tr>
      <w:tr w:rsidR="0039003F" w14:paraId="5055F0D4" w14:textId="77777777">
        <w:tc>
          <w:tcPr>
            <w:tcW w:w="2065" w:type="dxa"/>
            <w:tcBorders>
              <w:top w:val="single" w:sz="4" w:space="0" w:color="000000"/>
              <w:left w:val="single" w:sz="4" w:space="0" w:color="000000"/>
              <w:bottom w:val="single" w:sz="4" w:space="0" w:color="000000"/>
            </w:tcBorders>
            <w:shd w:val="clear" w:color="auto" w:fill="auto"/>
          </w:tcPr>
          <w:p w14:paraId="5235D7C2" w14:textId="77777777" w:rsidR="0039003F" w:rsidRDefault="005566B0">
            <w:pPr>
              <w:widowControl/>
              <w:pBdr>
                <w:top w:val="nil"/>
                <w:left w:val="nil"/>
                <w:bottom w:val="nil"/>
                <w:right w:val="nil"/>
                <w:between w:val="nil"/>
              </w:pBdr>
              <w:ind w:right="39"/>
              <w:jc w:val="center"/>
              <w:rPr>
                <w:color w:val="000000"/>
                <w:sz w:val="28"/>
                <w:szCs w:val="28"/>
              </w:rPr>
            </w:pPr>
            <w:r>
              <w:rPr>
                <w:color w:val="000000"/>
                <w:sz w:val="28"/>
                <w:szCs w:val="28"/>
              </w:rPr>
              <w:t>Альтернатива 1:</w:t>
            </w:r>
          </w:p>
          <w:p w14:paraId="76A31FBD" w14:textId="77777777" w:rsidR="0039003F" w:rsidRDefault="005566B0">
            <w:pPr>
              <w:widowControl/>
              <w:pBdr>
                <w:top w:val="nil"/>
                <w:left w:val="nil"/>
                <w:bottom w:val="nil"/>
                <w:right w:val="nil"/>
                <w:between w:val="nil"/>
              </w:pBdr>
              <w:ind w:right="40"/>
              <w:jc w:val="center"/>
              <w:rPr>
                <w:color w:val="000000"/>
                <w:sz w:val="28"/>
                <w:szCs w:val="28"/>
              </w:rPr>
            </w:pPr>
            <w:r>
              <w:rPr>
                <w:color w:val="000000"/>
                <w:sz w:val="28"/>
                <w:szCs w:val="28"/>
              </w:rPr>
              <w:t>залишити регулювання без змін</w:t>
            </w:r>
          </w:p>
        </w:tc>
        <w:tc>
          <w:tcPr>
            <w:tcW w:w="7574" w:type="dxa"/>
            <w:tcBorders>
              <w:top w:val="single" w:sz="4" w:space="0" w:color="000000"/>
              <w:left w:val="single" w:sz="4" w:space="0" w:color="000000"/>
              <w:bottom w:val="single" w:sz="4" w:space="0" w:color="000000"/>
              <w:right w:val="single" w:sz="4" w:space="0" w:color="000000"/>
            </w:tcBorders>
            <w:shd w:val="clear" w:color="auto" w:fill="auto"/>
          </w:tcPr>
          <w:p w14:paraId="6B0595EF" w14:textId="77777777" w:rsidR="0039003F" w:rsidRDefault="005566B0">
            <w:pPr>
              <w:widowControl/>
              <w:pBdr>
                <w:top w:val="nil"/>
                <w:left w:val="nil"/>
                <w:bottom w:val="nil"/>
                <w:right w:val="nil"/>
                <w:between w:val="nil"/>
              </w:pBdr>
              <w:tabs>
                <w:tab w:val="left" w:pos="1406"/>
              </w:tabs>
              <w:ind w:right="31" w:firstLine="461"/>
              <w:jc w:val="both"/>
              <w:rPr>
                <w:color w:val="000000"/>
                <w:sz w:val="28"/>
                <w:szCs w:val="28"/>
                <w:highlight w:val="white"/>
              </w:rPr>
            </w:pPr>
            <w:bookmarkStart w:id="2" w:name="_heading=h.3znysh7" w:colFirst="0" w:colLast="0"/>
            <w:bookmarkEnd w:id="2"/>
            <w:r>
              <w:rPr>
                <w:color w:val="000000"/>
                <w:sz w:val="28"/>
                <w:szCs w:val="28"/>
                <w:highlight w:val="white"/>
              </w:rPr>
              <w:t>Перша альтернатива - залишити регулювання без змін. Проте ця альтернатива є недоцільною, оскільки визначені цілі державного регулювання не будуть досягнуті</w:t>
            </w:r>
            <w:r>
              <w:rPr>
                <w:sz w:val="28"/>
                <w:szCs w:val="28"/>
                <w:highlight w:val="white"/>
              </w:rPr>
              <w:t>, а</w:t>
            </w:r>
            <w:r>
              <w:rPr>
                <w:color w:val="000000"/>
                <w:sz w:val="28"/>
                <w:szCs w:val="28"/>
                <w:highlight w:val="white"/>
              </w:rPr>
              <w:t xml:space="preserve"> операторам, провайдерам телекомунікацій не буде надана можливість </w:t>
            </w:r>
            <w:r>
              <w:rPr>
                <w:sz w:val="28"/>
                <w:szCs w:val="28"/>
                <w:highlight w:val="white"/>
              </w:rPr>
              <w:t>прокладання волоконно-оптичних ліній зв'язку</w:t>
            </w:r>
            <w:r>
              <w:rPr>
                <w:color w:val="000000"/>
                <w:sz w:val="28"/>
                <w:szCs w:val="28"/>
                <w:highlight w:val="white"/>
              </w:rPr>
              <w:t xml:space="preserve"> на території України з метою безперебійного забезпечення населення доступом до Інтернету.</w:t>
            </w:r>
          </w:p>
        </w:tc>
      </w:tr>
      <w:tr w:rsidR="0039003F" w14:paraId="507E91B6" w14:textId="77777777">
        <w:tc>
          <w:tcPr>
            <w:tcW w:w="2065" w:type="dxa"/>
            <w:tcBorders>
              <w:top w:val="single" w:sz="4" w:space="0" w:color="000000"/>
              <w:left w:val="single" w:sz="4" w:space="0" w:color="000000"/>
              <w:bottom w:val="single" w:sz="4" w:space="0" w:color="000000"/>
            </w:tcBorders>
            <w:shd w:val="clear" w:color="auto" w:fill="auto"/>
          </w:tcPr>
          <w:p w14:paraId="0C04CA5D" w14:textId="77777777" w:rsidR="0039003F" w:rsidRDefault="005566B0">
            <w:pPr>
              <w:widowControl/>
              <w:pBdr>
                <w:top w:val="nil"/>
                <w:left w:val="nil"/>
                <w:bottom w:val="nil"/>
                <w:right w:val="nil"/>
                <w:between w:val="nil"/>
              </w:pBdr>
              <w:ind w:right="39"/>
              <w:jc w:val="center"/>
              <w:rPr>
                <w:color w:val="000000"/>
                <w:sz w:val="28"/>
                <w:szCs w:val="28"/>
              </w:rPr>
            </w:pPr>
            <w:r>
              <w:rPr>
                <w:color w:val="000000"/>
                <w:sz w:val="28"/>
                <w:szCs w:val="28"/>
              </w:rPr>
              <w:t>Альтернатива 2:</w:t>
            </w:r>
          </w:p>
          <w:p w14:paraId="2ED400FE" w14:textId="77777777" w:rsidR="0039003F" w:rsidRDefault="005566B0">
            <w:pPr>
              <w:widowControl/>
              <w:pBdr>
                <w:top w:val="nil"/>
                <w:left w:val="nil"/>
                <w:bottom w:val="nil"/>
                <w:right w:val="nil"/>
                <w:between w:val="nil"/>
              </w:pBdr>
              <w:ind w:right="140"/>
              <w:jc w:val="center"/>
              <w:rPr>
                <w:color w:val="000000"/>
                <w:sz w:val="28"/>
                <w:szCs w:val="28"/>
              </w:rPr>
            </w:pPr>
            <w:r>
              <w:rPr>
                <w:color w:val="000000"/>
                <w:sz w:val="28"/>
                <w:szCs w:val="28"/>
              </w:rPr>
              <w:t>прийняття Закону</w:t>
            </w:r>
          </w:p>
        </w:tc>
        <w:tc>
          <w:tcPr>
            <w:tcW w:w="7574" w:type="dxa"/>
            <w:tcBorders>
              <w:top w:val="single" w:sz="4" w:space="0" w:color="000000"/>
              <w:left w:val="single" w:sz="4" w:space="0" w:color="000000"/>
              <w:bottom w:val="single" w:sz="4" w:space="0" w:color="000000"/>
              <w:right w:val="single" w:sz="4" w:space="0" w:color="000000"/>
            </w:tcBorders>
            <w:shd w:val="clear" w:color="auto" w:fill="auto"/>
          </w:tcPr>
          <w:p w14:paraId="1636D463" w14:textId="77777777" w:rsidR="0039003F" w:rsidRDefault="005566B0">
            <w:pPr>
              <w:ind w:right="31" w:firstLine="461"/>
              <w:jc w:val="both"/>
              <w:rPr>
                <w:sz w:val="28"/>
                <w:szCs w:val="28"/>
                <w:highlight w:val="white"/>
              </w:rPr>
            </w:pPr>
            <w:r>
              <w:rPr>
                <w:sz w:val="28"/>
                <w:szCs w:val="28"/>
                <w:highlight w:val="white"/>
              </w:rPr>
              <w:t>Друга альтернатива - прийняття регуляторного акта є оптимальним способом вирішення зазначеної проблеми. Внесення зміни до статті 17 Закону про Доступ надасть можливість отримувати доступ до інфраструктури на справедливих засадах, що дозволить власникам такої інфраструктури отримувати кошти за таке використання, а операторам та провайдерам - здійснювати подальше розгортання волоконно-оптичних ліній зв'язку на території України.</w:t>
            </w:r>
          </w:p>
        </w:tc>
      </w:tr>
    </w:tbl>
    <w:p w14:paraId="22A8D25A" w14:textId="77777777" w:rsidR="0039003F" w:rsidRDefault="0039003F">
      <w:pPr>
        <w:widowControl/>
        <w:pBdr>
          <w:top w:val="nil"/>
          <w:left w:val="nil"/>
          <w:bottom w:val="nil"/>
          <w:right w:val="nil"/>
          <w:between w:val="nil"/>
        </w:pBdr>
        <w:tabs>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rPr>
          <w:color w:val="000000"/>
          <w:sz w:val="24"/>
          <w:szCs w:val="24"/>
        </w:rPr>
      </w:pPr>
    </w:p>
    <w:p w14:paraId="419A9B5D" w14:textId="77777777" w:rsidR="0039003F" w:rsidRDefault="005566B0">
      <w:pPr>
        <w:widowControl/>
        <w:numPr>
          <w:ilvl w:val="0"/>
          <w:numId w:val="2"/>
        </w:numPr>
        <w:pBdr>
          <w:top w:val="nil"/>
          <w:left w:val="nil"/>
          <w:bottom w:val="nil"/>
          <w:right w:val="nil"/>
          <w:between w:val="nil"/>
        </w:pBdr>
        <w:tabs>
          <w:tab w:val="left" w:pos="851"/>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40" w:firstLine="709"/>
        <w:jc w:val="both"/>
      </w:pPr>
      <w:r>
        <w:rPr>
          <w:color w:val="000000"/>
          <w:sz w:val="28"/>
          <w:szCs w:val="28"/>
        </w:rPr>
        <w:t xml:space="preserve">Оцінка </w:t>
      </w:r>
      <w:r>
        <w:rPr>
          <w:sz w:val="28"/>
          <w:szCs w:val="28"/>
        </w:rPr>
        <w:t>обраних</w:t>
      </w:r>
      <w:r>
        <w:rPr>
          <w:color w:val="000000"/>
          <w:sz w:val="28"/>
          <w:szCs w:val="28"/>
        </w:rPr>
        <w:t xml:space="preserve"> альтернативних способів досягнення цілей</w:t>
      </w:r>
    </w:p>
    <w:p w14:paraId="6347225D" w14:textId="77777777" w:rsidR="0039003F" w:rsidRDefault="005566B0">
      <w:pPr>
        <w:widowControl/>
        <w:pBdr>
          <w:top w:val="nil"/>
          <w:left w:val="nil"/>
          <w:bottom w:val="nil"/>
          <w:right w:val="nil"/>
          <w:between w:val="nil"/>
        </w:pBdr>
        <w:tabs>
          <w:tab w:val="left" w:pos="1406"/>
        </w:tabs>
        <w:ind w:left="-284" w:right="140" w:firstLine="993"/>
        <w:jc w:val="both"/>
        <w:rPr>
          <w:i/>
          <w:color w:val="000000"/>
          <w:sz w:val="28"/>
          <w:szCs w:val="28"/>
        </w:rPr>
      </w:pPr>
      <w:r>
        <w:rPr>
          <w:i/>
          <w:color w:val="000000"/>
          <w:sz w:val="28"/>
          <w:szCs w:val="28"/>
        </w:rPr>
        <w:t>Оцінка впливу на сферу інтересів держави</w:t>
      </w:r>
    </w:p>
    <w:p w14:paraId="3AFE32FC" w14:textId="77777777" w:rsidR="0039003F" w:rsidRDefault="0039003F">
      <w:pPr>
        <w:widowControl/>
        <w:pBdr>
          <w:top w:val="nil"/>
          <w:left w:val="nil"/>
          <w:bottom w:val="nil"/>
          <w:right w:val="nil"/>
          <w:between w:val="nil"/>
        </w:pBdr>
        <w:tabs>
          <w:tab w:val="left" w:pos="1406"/>
        </w:tabs>
        <w:ind w:left="-284" w:right="140" w:firstLine="709"/>
        <w:jc w:val="both"/>
        <w:rPr>
          <w:color w:val="000000"/>
          <w:sz w:val="16"/>
          <w:szCs w:val="16"/>
        </w:rPr>
      </w:pPr>
    </w:p>
    <w:tbl>
      <w:tblPr>
        <w:tblStyle w:val="afff6"/>
        <w:tblW w:w="9639" w:type="dxa"/>
        <w:tblInd w:w="-5" w:type="dxa"/>
        <w:tblLayout w:type="fixed"/>
        <w:tblLook w:val="0000" w:firstRow="0" w:lastRow="0" w:firstColumn="0" w:lastColumn="0" w:noHBand="0" w:noVBand="0"/>
      </w:tblPr>
      <w:tblGrid>
        <w:gridCol w:w="2095"/>
        <w:gridCol w:w="6135"/>
        <w:gridCol w:w="1409"/>
      </w:tblGrid>
      <w:tr w:rsidR="0039003F" w14:paraId="1CF13AF8" w14:textId="77777777">
        <w:tc>
          <w:tcPr>
            <w:tcW w:w="2095" w:type="dxa"/>
            <w:tcBorders>
              <w:top w:val="single" w:sz="4" w:space="0" w:color="000000"/>
              <w:left w:val="single" w:sz="4" w:space="0" w:color="000000"/>
              <w:bottom w:val="single" w:sz="4" w:space="0" w:color="000000"/>
            </w:tcBorders>
            <w:shd w:val="clear" w:color="auto" w:fill="auto"/>
          </w:tcPr>
          <w:p w14:paraId="44F6C849"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Вид альтернатив</w:t>
            </w:r>
          </w:p>
        </w:tc>
        <w:tc>
          <w:tcPr>
            <w:tcW w:w="6135" w:type="dxa"/>
            <w:tcBorders>
              <w:top w:val="single" w:sz="4" w:space="0" w:color="000000"/>
              <w:left w:val="single" w:sz="4" w:space="0" w:color="000000"/>
              <w:bottom w:val="single" w:sz="4" w:space="0" w:color="000000"/>
            </w:tcBorders>
            <w:shd w:val="clear" w:color="auto" w:fill="auto"/>
          </w:tcPr>
          <w:p w14:paraId="4A6E7116" w14:textId="77777777" w:rsidR="0039003F" w:rsidRDefault="005566B0">
            <w:pPr>
              <w:widowControl/>
              <w:pBdr>
                <w:top w:val="nil"/>
                <w:left w:val="nil"/>
                <w:bottom w:val="nil"/>
                <w:right w:val="nil"/>
                <w:between w:val="nil"/>
              </w:pBdr>
              <w:tabs>
                <w:tab w:val="left" w:pos="1406"/>
              </w:tabs>
              <w:jc w:val="center"/>
              <w:rPr>
                <w:color w:val="000000"/>
                <w:sz w:val="28"/>
                <w:szCs w:val="28"/>
              </w:rPr>
            </w:pPr>
            <w:r>
              <w:rPr>
                <w:color w:val="000000"/>
                <w:sz w:val="28"/>
                <w:szCs w:val="28"/>
              </w:rPr>
              <w:t>Вигоди</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09F5274C" w14:textId="77777777" w:rsidR="0039003F" w:rsidRDefault="005566B0">
            <w:pPr>
              <w:widowControl/>
              <w:pBdr>
                <w:top w:val="nil"/>
                <w:left w:val="nil"/>
                <w:bottom w:val="nil"/>
                <w:right w:val="nil"/>
                <w:between w:val="nil"/>
              </w:pBdr>
              <w:tabs>
                <w:tab w:val="left" w:pos="1406"/>
              </w:tabs>
              <w:jc w:val="center"/>
              <w:rPr>
                <w:color w:val="000000"/>
                <w:sz w:val="28"/>
                <w:szCs w:val="28"/>
              </w:rPr>
            </w:pPr>
            <w:r>
              <w:rPr>
                <w:color w:val="000000"/>
                <w:sz w:val="28"/>
                <w:szCs w:val="28"/>
              </w:rPr>
              <w:t>Витрати</w:t>
            </w:r>
          </w:p>
        </w:tc>
      </w:tr>
      <w:tr w:rsidR="0039003F" w14:paraId="54CF2AE9" w14:textId="77777777">
        <w:tc>
          <w:tcPr>
            <w:tcW w:w="2095" w:type="dxa"/>
            <w:tcBorders>
              <w:top w:val="single" w:sz="4" w:space="0" w:color="000000"/>
              <w:left w:val="single" w:sz="4" w:space="0" w:color="000000"/>
              <w:bottom w:val="single" w:sz="4" w:space="0" w:color="000000"/>
            </w:tcBorders>
            <w:shd w:val="clear" w:color="auto" w:fill="auto"/>
          </w:tcPr>
          <w:p w14:paraId="6D7003F3"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Альтернатива 1:</w:t>
            </w:r>
          </w:p>
          <w:p w14:paraId="7D546288"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залишити регулювання без змін</w:t>
            </w:r>
          </w:p>
        </w:tc>
        <w:tc>
          <w:tcPr>
            <w:tcW w:w="6135" w:type="dxa"/>
            <w:tcBorders>
              <w:top w:val="single" w:sz="4" w:space="0" w:color="000000"/>
              <w:left w:val="single" w:sz="4" w:space="0" w:color="000000"/>
              <w:bottom w:val="single" w:sz="4" w:space="0" w:color="000000"/>
            </w:tcBorders>
            <w:shd w:val="clear" w:color="auto" w:fill="auto"/>
          </w:tcPr>
          <w:p w14:paraId="2954F2EB" w14:textId="77777777" w:rsidR="0039003F" w:rsidRDefault="005566B0">
            <w:pPr>
              <w:widowControl/>
              <w:pBdr>
                <w:top w:val="nil"/>
                <w:left w:val="nil"/>
                <w:bottom w:val="nil"/>
                <w:right w:val="nil"/>
                <w:between w:val="nil"/>
              </w:pBdr>
              <w:tabs>
                <w:tab w:val="left" w:pos="1406"/>
              </w:tabs>
              <w:jc w:val="center"/>
              <w:rPr>
                <w:color w:val="000000"/>
                <w:sz w:val="28"/>
                <w:szCs w:val="28"/>
              </w:rPr>
            </w:pPr>
            <w:r>
              <w:rPr>
                <w:color w:val="000000"/>
                <w:sz w:val="28"/>
                <w:szCs w:val="28"/>
              </w:rPr>
              <w:t>Відсутні</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3AF7F06C" w14:textId="77777777" w:rsidR="0039003F" w:rsidRDefault="005566B0">
            <w:pPr>
              <w:widowControl/>
              <w:pBdr>
                <w:top w:val="nil"/>
                <w:left w:val="nil"/>
                <w:bottom w:val="nil"/>
                <w:right w:val="nil"/>
                <w:between w:val="nil"/>
              </w:pBdr>
              <w:tabs>
                <w:tab w:val="left" w:pos="1406"/>
              </w:tabs>
              <w:jc w:val="center"/>
              <w:rPr>
                <w:color w:val="000000"/>
                <w:sz w:val="28"/>
                <w:szCs w:val="28"/>
              </w:rPr>
            </w:pPr>
            <w:r>
              <w:rPr>
                <w:color w:val="000000"/>
                <w:sz w:val="28"/>
                <w:szCs w:val="28"/>
              </w:rPr>
              <w:t>Відсутні</w:t>
            </w:r>
          </w:p>
        </w:tc>
      </w:tr>
      <w:tr w:rsidR="0039003F" w14:paraId="398B3A26" w14:textId="77777777">
        <w:tc>
          <w:tcPr>
            <w:tcW w:w="2095" w:type="dxa"/>
            <w:tcBorders>
              <w:top w:val="single" w:sz="4" w:space="0" w:color="000000"/>
              <w:left w:val="single" w:sz="4" w:space="0" w:color="000000"/>
              <w:bottom w:val="single" w:sz="4" w:space="0" w:color="000000"/>
            </w:tcBorders>
            <w:shd w:val="clear" w:color="auto" w:fill="auto"/>
          </w:tcPr>
          <w:p w14:paraId="2AAE1805"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Альтернатива 2:</w:t>
            </w:r>
          </w:p>
          <w:p w14:paraId="73DC3674"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прийняття Закону</w:t>
            </w:r>
          </w:p>
        </w:tc>
        <w:tc>
          <w:tcPr>
            <w:tcW w:w="6135" w:type="dxa"/>
            <w:tcBorders>
              <w:top w:val="single" w:sz="4" w:space="0" w:color="000000"/>
              <w:left w:val="single" w:sz="4" w:space="0" w:color="000000"/>
              <w:bottom w:val="single" w:sz="4" w:space="0" w:color="000000"/>
            </w:tcBorders>
            <w:shd w:val="clear" w:color="auto" w:fill="auto"/>
          </w:tcPr>
          <w:p w14:paraId="6221FAA6" w14:textId="77777777" w:rsidR="0039003F" w:rsidRDefault="005566B0">
            <w:pPr>
              <w:widowControl/>
              <w:pBdr>
                <w:top w:val="nil"/>
                <w:left w:val="nil"/>
                <w:bottom w:val="nil"/>
                <w:right w:val="nil"/>
                <w:between w:val="nil"/>
              </w:pBdr>
              <w:tabs>
                <w:tab w:val="left" w:pos="1406"/>
              </w:tabs>
              <w:jc w:val="both"/>
              <w:rPr>
                <w:sz w:val="28"/>
                <w:szCs w:val="28"/>
                <w:shd w:val="clear" w:color="auto" w:fill="FF9900"/>
              </w:rPr>
            </w:pPr>
            <w:r>
              <w:rPr>
                <w:sz w:val="28"/>
                <w:szCs w:val="28"/>
              </w:rPr>
              <w:t>Високі, оскільки будуть створені умови для швидкого забезпечення населення доступом до інтернету, що в свою чергу надасть можливість подолати цифровий розрив в Україні і оперативно надавати соціальні та адміністративні послуги.</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4C998B8B" w14:textId="77777777" w:rsidR="0039003F" w:rsidRDefault="005566B0">
            <w:pPr>
              <w:widowControl/>
              <w:pBdr>
                <w:top w:val="nil"/>
                <w:left w:val="nil"/>
                <w:bottom w:val="nil"/>
                <w:right w:val="nil"/>
                <w:between w:val="nil"/>
              </w:pBdr>
              <w:jc w:val="center"/>
              <w:rPr>
                <w:color w:val="000000"/>
                <w:sz w:val="28"/>
                <w:szCs w:val="28"/>
                <w:highlight w:val="yellow"/>
              </w:rPr>
            </w:pPr>
            <w:r>
              <w:rPr>
                <w:color w:val="000000"/>
                <w:sz w:val="28"/>
                <w:szCs w:val="28"/>
              </w:rPr>
              <w:t>Відсутні</w:t>
            </w:r>
          </w:p>
        </w:tc>
      </w:tr>
    </w:tbl>
    <w:p w14:paraId="2D4297CD" w14:textId="77777777" w:rsidR="0039003F" w:rsidRDefault="0039003F">
      <w:pPr>
        <w:widowControl/>
        <w:pBdr>
          <w:top w:val="nil"/>
          <w:left w:val="nil"/>
          <w:bottom w:val="nil"/>
          <w:right w:val="nil"/>
          <w:between w:val="nil"/>
        </w:pBdr>
        <w:tabs>
          <w:tab w:val="left" w:pos="1406"/>
        </w:tabs>
        <w:ind w:left="-284" w:right="140" w:firstLine="709"/>
        <w:jc w:val="both"/>
        <w:rPr>
          <w:i/>
          <w:sz w:val="28"/>
          <w:szCs w:val="28"/>
        </w:rPr>
      </w:pPr>
    </w:p>
    <w:p w14:paraId="6EC65EB3" w14:textId="77777777" w:rsidR="0039003F" w:rsidRDefault="005566B0">
      <w:pPr>
        <w:widowControl/>
        <w:pBdr>
          <w:top w:val="nil"/>
          <w:left w:val="nil"/>
          <w:bottom w:val="nil"/>
          <w:right w:val="nil"/>
          <w:between w:val="nil"/>
        </w:pBdr>
        <w:tabs>
          <w:tab w:val="left" w:pos="1406"/>
        </w:tabs>
        <w:ind w:right="140" w:firstLine="709"/>
        <w:jc w:val="both"/>
        <w:rPr>
          <w:color w:val="000000"/>
          <w:sz w:val="28"/>
          <w:szCs w:val="28"/>
        </w:rPr>
      </w:pPr>
      <w:r>
        <w:rPr>
          <w:i/>
          <w:color w:val="000000"/>
          <w:sz w:val="28"/>
          <w:szCs w:val="28"/>
        </w:rPr>
        <w:t>Оцінка впливу на сферу інтересів громадян</w:t>
      </w:r>
      <w:r>
        <w:rPr>
          <w:color w:val="000000"/>
          <w:sz w:val="28"/>
          <w:szCs w:val="28"/>
        </w:rPr>
        <w:t xml:space="preserve"> </w:t>
      </w:r>
    </w:p>
    <w:p w14:paraId="4B2BE0F4" w14:textId="77777777" w:rsidR="0039003F" w:rsidRDefault="0039003F">
      <w:pPr>
        <w:widowControl/>
        <w:pBdr>
          <w:top w:val="nil"/>
          <w:left w:val="nil"/>
          <w:bottom w:val="nil"/>
          <w:right w:val="nil"/>
          <w:between w:val="nil"/>
        </w:pBdr>
        <w:tabs>
          <w:tab w:val="left" w:pos="1406"/>
        </w:tabs>
        <w:ind w:left="-284" w:right="140" w:firstLine="709"/>
        <w:jc w:val="both"/>
        <w:rPr>
          <w:color w:val="000000"/>
          <w:sz w:val="16"/>
          <w:szCs w:val="16"/>
        </w:rPr>
      </w:pPr>
    </w:p>
    <w:tbl>
      <w:tblPr>
        <w:tblStyle w:val="afff7"/>
        <w:tblW w:w="9639" w:type="dxa"/>
        <w:tblInd w:w="-5" w:type="dxa"/>
        <w:tblLayout w:type="fixed"/>
        <w:tblLook w:val="0000" w:firstRow="0" w:lastRow="0" w:firstColumn="0" w:lastColumn="0" w:noHBand="0" w:noVBand="0"/>
      </w:tblPr>
      <w:tblGrid>
        <w:gridCol w:w="2140"/>
        <w:gridCol w:w="6090"/>
        <w:gridCol w:w="1409"/>
      </w:tblGrid>
      <w:tr w:rsidR="0039003F" w14:paraId="1D230142" w14:textId="77777777">
        <w:tc>
          <w:tcPr>
            <w:tcW w:w="2140" w:type="dxa"/>
            <w:tcBorders>
              <w:top w:val="single" w:sz="4" w:space="0" w:color="000000"/>
              <w:left w:val="single" w:sz="4" w:space="0" w:color="000000"/>
              <w:bottom w:val="single" w:sz="4" w:space="0" w:color="000000"/>
            </w:tcBorders>
            <w:shd w:val="clear" w:color="auto" w:fill="auto"/>
          </w:tcPr>
          <w:p w14:paraId="6D61C814"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Вид альтернатив</w:t>
            </w:r>
          </w:p>
        </w:tc>
        <w:tc>
          <w:tcPr>
            <w:tcW w:w="6090" w:type="dxa"/>
            <w:tcBorders>
              <w:top w:val="single" w:sz="4" w:space="0" w:color="000000"/>
              <w:left w:val="single" w:sz="4" w:space="0" w:color="000000"/>
              <w:bottom w:val="single" w:sz="4" w:space="0" w:color="000000"/>
            </w:tcBorders>
            <w:shd w:val="clear" w:color="auto" w:fill="auto"/>
          </w:tcPr>
          <w:p w14:paraId="5B45A67E" w14:textId="77777777" w:rsidR="0039003F" w:rsidRDefault="005566B0">
            <w:pPr>
              <w:widowControl/>
              <w:pBdr>
                <w:top w:val="nil"/>
                <w:left w:val="nil"/>
                <w:bottom w:val="nil"/>
                <w:right w:val="nil"/>
                <w:between w:val="nil"/>
              </w:pBdr>
              <w:tabs>
                <w:tab w:val="left" w:pos="1406"/>
              </w:tabs>
              <w:jc w:val="center"/>
              <w:rPr>
                <w:color w:val="000000"/>
                <w:sz w:val="28"/>
                <w:szCs w:val="28"/>
              </w:rPr>
            </w:pPr>
            <w:r>
              <w:rPr>
                <w:color w:val="000000"/>
                <w:sz w:val="28"/>
                <w:szCs w:val="28"/>
              </w:rPr>
              <w:t>Вигоди</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1A111A19" w14:textId="77777777" w:rsidR="0039003F" w:rsidRDefault="005566B0">
            <w:pPr>
              <w:widowControl/>
              <w:pBdr>
                <w:top w:val="nil"/>
                <w:left w:val="nil"/>
                <w:bottom w:val="nil"/>
                <w:right w:val="nil"/>
                <w:between w:val="nil"/>
              </w:pBdr>
              <w:tabs>
                <w:tab w:val="left" w:pos="1406"/>
              </w:tabs>
              <w:jc w:val="center"/>
              <w:rPr>
                <w:color w:val="000000"/>
                <w:sz w:val="28"/>
                <w:szCs w:val="28"/>
              </w:rPr>
            </w:pPr>
            <w:r>
              <w:rPr>
                <w:color w:val="000000"/>
                <w:sz w:val="28"/>
                <w:szCs w:val="28"/>
              </w:rPr>
              <w:t>Витрати</w:t>
            </w:r>
          </w:p>
        </w:tc>
      </w:tr>
      <w:tr w:rsidR="0039003F" w14:paraId="6FB2AA8E" w14:textId="77777777">
        <w:tc>
          <w:tcPr>
            <w:tcW w:w="2140" w:type="dxa"/>
            <w:tcBorders>
              <w:top w:val="single" w:sz="4" w:space="0" w:color="000000"/>
              <w:left w:val="single" w:sz="4" w:space="0" w:color="000000"/>
              <w:bottom w:val="single" w:sz="4" w:space="0" w:color="000000"/>
            </w:tcBorders>
            <w:shd w:val="clear" w:color="auto" w:fill="auto"/>
          </w:tcPr>
          <w:p w14:paraId="62F40216"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Альтернатива 1:</w:t>
            </w:r>
          </w:p>
          <w:p w14:paraId="46010046"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залишити регулювання без змін</w:t>
            </w:r>
          </w:p>
        </w:tc>
        <w:tc>
          <w:tcPr>
            <w:tcW w:w="6090" w:type="dxa"/>
            <w:tcBorders>
              <w:top w:val="single" w:sz="4" w:space="0" w:color="000000"/>
              <w:left w:val="single" w:sz="4" w:space="0" w:color="000000"/>
              <w:bottom w:val="single" w:sz="4" w:space="0" w:color="000000"/>
            </w:tcBorders>
            <w:shd w:val="clear" w:color="auto" w:fill="auto"/>
          </w:tcPr>
          <w:p w14:paraId="2F74680E" w14:textId="77777777" w:rsidR="0039003F" w:rsidRDefault="005566B0">
            <w:pPr>
              <w:widowControl/>
              <w:pBdr>
                <w:top w:val="nil"/>
                <w:left w:val="nil"/>
                <w:bottom w:val="nil"/>
                <w:right w:val="nil"/>
                <w:between w:val="nil"/>
              </w:pBdr>
              <w:tabs>
                <w:tab w:val="left" w:pos="1406"/>
              </w:tabs>
              <w:jc w:val="center"/>
              <w:rPr>
                <w:color w:val="000000"/>
                <w:sz w:val="28"/>
                <w:szCs w:val="28"/>
              </w:rPr>
            </w:pPr>
            <w:r>
              <w:rPr>
                <w:color w:val="000000"/>
                <w:sz w:val="28"/>
                <w:szCs w:val="28"/>
              </w:rPr>
              <w:t>Відсутні</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1FC8A6C6" w14:textId="77777777" w:rsidR="0039003F" w:rsidRDefault="005566B0">
            <w:pPr>
              <w:widowControl/>
              <w:pBdr>
                <w:top w:val="nil"/>
                <w:left w:val="nil"/>
                <w:bottom w:val="nil"/>
                <w:right w:val="nil"/>
                <w:between w:val="nil"/>
              </w:pBdr>
              <w:tabs>
                <w:tab w:val="left" w:pos="1406"/>
              </w:tabs>
              <w:jc w:val="center"/>
              <w:rPr>
                <w:color w:val="000000"/>
                <w:sz w:val="28"/>
                <w:szCs w:val="28"/>
              </w:rPr>
            </w:pPr>
            <w:r>
              <w:rPr>
                <w:color w:val="000000"/>
                <w:sz w:val="28"/>
                <w:szCs w:val="28"/>
              </w:rPr>
              <w:t>Відсутні</w:t>
            </w:r>
          </w:p>
        </w:tc>
      </w:tr>
      <w:tr w:rsidR="0039003F" w14:paraId="02A6AFA9" w14:textId="77777777">
        <w:tc>
          <w:tcPr>
            <w:tcW w:w="2140" w:type="dxa"/>
            <w:tcBorders>
              <w:top w:val="single" w:sz="4" w:space="0" w:color="000000"/>
              <w:left w:val="single" w:sz="4" w:space="0" w:color="000000"/>
              <w:bottom w:val="single" w:sz="4" w:space="0" w:color="000000"/>
            </w:tcBorders>
            <w:shd w:val="clear" w:color="auto" w:fill="auto"/>
          </w:tcPr>
          <w:p w14:paraId="3446055E"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Альтернатива 2:</w:t>
            </w:r>
          </w:p>
          <w:p w14:paraId="7D48C3AE"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прийняття Закону</w:t>
            </w:r>
          </w:p>
        </w:tc>
        <w:tc>
          <w:tcPr>
            <w:tcW w:w="6090" w:type="dxa"/>
            <w:tcBorders>
              <w:top w:val="single" w:sz="4" w:space="0" w:color="000000"/>
              <w:left w:val="single" w:sz="4" w:space="0" w:color="000000"/>
              <w:bottom w:val="single" w:sz="4" w:space="0" w:color="000000"/>
            </w:tcBorders>
            <w:shd w:val="clear" w:color="auto" w:fill="auto"/>
          </w:tcPr>
          <w:p w14:paraId="6B87F6ED" w14:textId="77777777" w:rsidR="0039003F" w:rsidRDefault="005566B0">
            <w:pPr>
              <w:widowControl/>
              <w:pBdr>
                <w:top w:val="nil"/>
                <w:left w:val="nil"/>
                <w:bottom w:val="nil"/>
                <w:right w:val="nil"/>
                <w:between w:val="nil"/>
              </w:pBdr>
              <w:tabs>
                <w:tab w:val="left" w:pos="1406"/>
              </w:tabs>
              <w:jc w:val="both"/>
              <w:rPr>
                <w:sz w:val="28"/>
                <w:szCs w:val="28"/>
                <w:highlight w:val="white"/>
              </w:rPr>
            </w:pPr>
            <w:r>
              <w:rPr>
                <w:sz w:val="28"/>
                <w:szCs w:val="28"/>
                <w:highlight w:val="white"/>
              </w:rPr>
              <w:t>Високі, оскільки громадяни швидше будуть забезпечені доступом до Інтернету та мобільного зв’язку, що в свою чергу надасть можливість оперативно отримувати соціальні та адміністративні послуги.</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14:paraId="5A18C0BB" w14:textId="77777777" w:rsidR="0039003F" w:rsidRDefault="005566B0">
            <w:pPr>
              <w:widowControl/>
              <w:pBdr>
                <w:top w:val="nil"/>
                <w:left w:val="nil"/>
                <w:bottom w:val="nil"/>
                <w:right w:val="nil"/>
                <w:between w:val="nil"/>
              </w:pBdr>
              <w:jc w:val="center"/>
              <w:rPr>
                <w:color w:val="000000"/>
                <w:sz w:val="28"/>
                <w:szCs w:val="28"/>
                <w:highlight w:val="yellow"/>
              </w:rPr>
            </w:pPr>
            <w:r>
              <w:rPr>
                <w:color w:val="000000"/>
                <w:sz w:val="28"/>
                <w:szCs w:val="28"/>
              </w:rPr>
              <w:t>Відсутні</w:t>
            </w:r>
          </w:p>
        </w:tc>
      </w:tr>
    </w:tbl>
    <w:p w14:paraId="4FADA52F" w14:textId="77777777" w:rsidR="0039003F" w:rsidRDefault="0039003F">
      <w:pPr>
        <w:widowControl/>
        <w:pBdr>
          <w:top w:val="nil"/>
          <w:left w:val="nil"/>
          <w:bottom w:val="nil"/>
          <w:right w:val="nil"/>
          <w:between w:val="nil"/>
        </w:pBdr>
        <w:tabs>
          <w:tab w:val="left" w:pos="1406"/>
        </w:tabs>
        <w:ind w:left="-284" w:right="140" w:firstLine="709"/>
        <w:jc w:val="both"/>
        <w:rPr>
          <w:color w:val="000000"/>
          <w:sz w:val="28"/>
          <w:szCs w:val="28"/>
        </w:rPr>
      </w:pPr>
    </w:p>
    <w:p w14:paraId="53A6DE28" w14:textId="77777777" w:rsidR="0039003F" w:rsidRDefault="005566B0">
      <w:pPr>
        <w:widowControl/>
        <w:tabs>
          <w:tab w:val="left" w:pos="1406"/>
        </w:tabs>
        <w:ind w:left="-284" w:right="140" w:firstLine="709"/>
        <w:jc w:val="both"/>
        <w:rPr>
          <w:i/>
          <w:sz w:val="28"/>
          <w:szCs w:val="28"/>
          <w:highlight w:val="white"/>
        </w:rPr>
      </w:pPr>
      <w:r>
        <w:rPr>
          <w:i/>
          <w:sz w:val="28"/>
          <w:szCs w:val="28"/>
          <w:highlight w:val="white"/>
        </w:rPr>
        <w:t>Оцінка впливу на сферу інтересів суб’єктів господарювання</w:t>
      </w:r>
    </w:p>
    <w:p w14:paraId="43A58C75" w14:textId="77777777" w:rsidR="0039003F" w:rsidRDefault="0039003F">
      <w:pPr>
        <w:widowControl/>
        <w:tabs>
          <w:tab w:val="left" w:pos="1406"/>
        </w:tabs>
        <w:ind w:left="-284" w:right="140" w:firstLine="709"/>
        <w:jc w:val="both"/>
        <w:rPr>
          <w:i/>
          <w:sz w:val="16"/>
          <w:szCs w:val="16"/>
        </w:rPr>
      </w:pPr>
    </w:p>
    <w:tbl>
      <w:tblPr>
        <w:tblStyle w:val="afff8"/>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1134"/>
        <w:gridCol w:w="1176"/>
        <w:gridCol w:w="1050"/>
        <w:gridCol w:w="1095"/>
        <w:gridCol w:w="1073"/>
      </w:tblGrid>
      <w:tr w:rsidR="0039003F" w14:paraId="6CCC43A1" w14:textId="77777777">
        <w:trPr>
          <w:trHeight w:val="345"/>
        </w:trPr>
        <w:tc>
          <w:tcPr>
            <w:tcW w:w="4111" w:type="dxa"/>
            <w:shd w:val="clear" w:color="auto" w:fill="auto"/>
          </w:tcPr>
          <w:p w14:paraId="410A3BDF" w14:textId="77777777" w:rsidR="0039003F" w:rsidRDefault="005566B0">
            <w:pPr>
              <w:widowControl/>
              <w:tabs>
                <w:tab w:val="left" w:pos="1406"/>
              </w:tabs>
              <w:ind w:right="140"/>
              <w:jc w:val="center"/>
              <w:rPr>
                <w:sz w:val="28"/>
                <w:szCs w:val="28"/>
              </w:rPr>
            </w:pPr>
            <w:r>
              <w:rPr>
                <w:sz w:val="28"/>
                <w:szCs w:val="28"/>
              </w:rPr>
              <w:t>Показник</w:t>
            </w:r>
          </w:p>
        </w:tc>
        <w:tc>
          <w:tcPr>
            <w:tcW w:w="1134" w:type="dxa"/>
            <w:shd w:val="clear" w:color="auto" w:fill="auto"/>
          </w:tcPr>
          <w:p w14:paraId="40A7ABE9" w14:textId="77777777" w:rsidR="0039003F" w:rsidRDefault="005566B0">
            <w:pPr>
              <w:widowControl/>
              <w:tabs>
                <w:tab w:val="left" w:pos="1406"/>
              </w:tabs>
              <w:ind w:right="-203" w:hanging="15"/>
              <w:rPr>
                <w:sz w:val="28"/>
                <w:szCs w:val="28"/>
              </w:rPr>
            </w:pPr>
            <w:r>
              <w:rPr>
                <w:sz w:val="28"/>
                <w:szCs w:val="28"/>
              </w:rPr>
              <w:t>Великі</w:t>
            </w:r>
          </w:p>
        </w:tc>
        <w:tc>
          <w:tcPr>
            <w:tcW w:w="1176" w:type="dxa"/>
            <w:shd w:val="clear" w:color="auto" w:fill="auto"/>
          </w:tcPr>
          <w:p w14:paraId="7B7AD193" w14:textId="77777777" w:rsidR="0039003F" w:rsidRDefault="005566B0">
            <w:pPr>
              <w:widowControl/>
              <w:tabs>
                <w:tab w:val="left" w:pos="1119"/>
              </w:tabs>
              <w:ind w:right="-68"/>
              <w:jc w:val="center"/>
              <w:rPr>
                <w:sz w:val="28"/>
                <w:szCs w:val="28"/>
              </w:rPr>
            </w:pPr>
            <w:r>
              <w:rPr>
                <w:sz w:val="28"/>
                <w:szCs w:val="28"/>
              </w:rPr>
              <w:t>Середні</w:t>
            </w:r>
          </w:p>
        </w:tc>
        <w:tc>
          <w:tcPr>
            <w:tcW w:w="1050" w:type="dxa"/>
            <w:shd w:val="clear" w:color="auto" w:fill="auto"/>
          </w:tcPr>
          <w:p w14:paraId="31C6DCA1" w14:textId="77777777" w:rsidR="0039003F" w:rsidRDefault="005566B0">
            <w:pPr>
              <w:widowControl/>
              <w:tabs>
                <w:tab w:val="left" w:pos="834"/>
              </w:tabs>
              <w:ind w:right="-40"/>
              <w:jc w:val="center"/>
              <w:rPr>
                <w:sz w:val="28"/>
                <w:szCs w:val="28"/>
              </w:rPr>
            </w:pPr>
            <w:r>
              <w:rPr>
                <w:sz w:val="28"/>
                <w:szCs w:val="28"/>
              </w:rPr>
              <w:t>Малі</w:t>
            </w:r>
          </w:p>
        </w:tc>
        <w:tc>
          <w:tcPr>
            <w:tcW w:w="1095" w:type="dxa"/>
            <w:shd w:val="clear" w:color="auto" w:fill="auto"/>
          </w:tcPr>
          <w:p w14:paraId="350AD971" w14:textId="77777777" w:rsidR="0039003F" w:rsidRDefault="005566B0">
            <w:pPr>
              <w:widowControl/>
              <w:tabs>
                <w:tab w:val="left" w:pos="984"/>
              </w:tabs>
              <w:ind w:right="-137"/>
              <w:jc w:val="center"/>
              <w:rPr>
                <w:sz w:val="28"/>
                <w:szCs w:val="28"/>
              </w:rPr>
            </w:pPr>
            <w:r>
              <w:rPr>
                <w:sz w:val="28"/>
                <w:szCs w:val="28"/>
              </w:rPr>
              <w:t>Мікро</w:t>
            </w:r>
          </w:p>
        </w:tc>
        <w:tc>
          <w:tcPr>
            <w:tcW w:w="1073" w:type="dxa"/>
            <w:shd w:val="clear" w:color="auto" w:fill="auto"/>
          </w:tcPr>
          <w:p w14:paraId="7C448C6E" w14:textId="77777777" w:rsidR="0039003F" w:rsidRDefault="005566B0">
            <w:pPr>
              <w:widowControl/>
              <w:tabs>
                <w:tab w:val="left" w:pos="984"/>
              </w:tabs>
              <w:ind w:right="12"/>
              <w:jc w:val="center"/>
              <w:rPr>
                <w:sz w:val="28"/>
                <w:szCs w:val="28"/>
              </w:rPr>
            </w:pPr>
            <w:r>
              <w:rPr>
                <w:sz w:val="28"/>
                <w:szCs w:val="28"/>
              </w:rPr>
              <w:t>Разом</w:t>
            </w:r>
          </w:p>
        </w:tc>
      </w:tr>
      <w:tr w:rsidR="0039003F" w14:paraId="389460FC" w14:textId="77777777">
        <w:trPr>
          <w:trHeight w:val="280"/>
        </w:trPr>
        <w:tc>
          <w:tcPr>
            <w:tcW w:w="4111" w:type="dxa"/>
            <w:shd w:val="clear" w:color="auto" w:fill="auto"/>
          </w:tcPr>
          <w:p w14:paraId="734B7870" w14:textId="77777777" w:rsidR="0039003F" w:rsidRDefault="005566B0">
            <w:pPr>
              <w:widowControl/>
              <w:tabs>
                <w:tab w:val="left" w:pos="1406"/>
              </w:tabs>
              <w:ind w:right="140"/>
              <w:jc w:val="both"/>
              <w:rPr>
                <w:sz w:val="28"/>
                <w:szCs w:val="28"/>
              </w:rPr>
            </w:pPr>
            <w:r>
              <w:rPr>
                <w:sz w:val="28"/>
                <w:szCs w:val="28"/>
              </w:rPr>
              <w:t>Кількість суб’єктів господарювання, які підпадають під дію регулювання, одиниць*</w:t>
            </w:r>
          </w:p>
        </w:tc>
        <w:tc>
          <w:tcPr>
            <w:tcW w:w="2310" w:type="dxa"/>
            <w:gridSpan w:val="2"/>
            <w:shd w:val="clear" w:color="auto" w:fill="auto"/>
          </w:tcPr>
          <w:p w14:paraId="315851C1" w14:textId="77777777" w:rsidR="0039003F" w:rsidRDefault="005566B0">
            <w:pPr>
              <w:widowControl/>
              <w:tabs>
                <w:tab w:val="left" w:pos="1406"/>
              </w:tabs>
              <w:ind w:right="-68"/>
              <w:jc w:val="center"/>
              <w:rPr>
                <w:sz w:val="28"/>
                <w:szCs w:val="28"/>
              </w:rPr>
            </w:pPr>
            <w:r>
              <w:rPr>
                <w:sz w:val="28"/>
                <w:szCs w:val="28"/>
              </w:rPr>
              <w:t>2084</w:t>
            </w:r>
          </w:p>
        </w:tc>
        <w:tc>
          <w:tcPr>
            <w:tcW w:w="2145" w:type="dxa"/>
            <w:gridSpan w:val="2"/>
            <w:shd w:val="clear" w:color="auto" w:fill="auto"/>
          </w:tcPr>
          <w:p w14:paraId="244536B3" w14:textId="77777777" w:rsidR="0039003F" w:rsidRDefault="005566B0">
            <w:pPr>
              <w:widowControl/>
              <w:tabs>
                <w:tab w:val="left" w:pos="1406"/>
              </w:tabs>
              <w:ind w:right="-40"/>
              <w:jc w:val="center"/>
              <w:rPr>
                <w:sz w:val="28"/>
                <w:szCs w:val="28"/>
              </w:rPr>
            </w:pPr>
            <w:r>
              <w:rPr>
                <w:sz w:val="28"/>
                <w:szCs w:val="28"/>
              </w:rPr>
              <w:t>2753</w:t>
            </w:r>
          </w:p>
        </w:tc>
        <w:tc>
          <w:tcPr>
            <w:tcW w:w="1073" w:type="dxa"/>
            <w:shd w:val="clear" w:color="auto" w:fill="auto"/>
          </w:tcPr>
          <w:p w14:paraId="0E5045D9" w14:textId="77777777" w:rsidR="0039003F" w:rsidRDefault="005566B0">
            <w:pPr>
              <w:widowControl/>
              <w:tabs>
                <w:tab w:val="left" w:pos="1406"/>
              </w:tabs>
              <w:ind w:right="-40"/>
              <w:jc w:val="center"/>
              <w:rPr>
                <w:sz w:val="28"/>
                <w:szCs w:val="28"/>
              </w:rPr>
            </w:pPr>
            <w:r>
              <w:rPr>
                <w:sz w:val="28"/>
                <w:szCs w:val="28"/>
              </w:rPr>
              <w:t>4837</w:t>
            </w:r>
          </w:p>
        </w:tc>
      </w:tr>
      <w:tr w:rsidR="0039003F" w14:paraId="65666DA6" w14:textId="77777777">
        <w:trPr>
          <w:trHeight w:val="763"/>
        </w:trPr>
        <w:tc>
          <w:tcPr>
            <w:tcW w:w="4111" w:type="dxa"/>
            <w:shd w:val="clear" w:color="auto" w:fill="auto"/>
          </w:tcPr>
          <w:p w14:paraId="2F598481" w14:textId="77777777" w:rsidR="0039003F" w:rsidRDefault="005566B0">
            <w:pPr>
              <w:widowControl/>
              <w:tabs>
                <w:tab w:val="left" w:pos="1406"/>
              </w:tabs>
              <w:ind w:right="140"/>
              <w:jc w:val="both"/>
              <w:rPr>
                <w:sz w:val="28"/>
                <w:szCs w:val="28"/>
              </w:rPr>
            </w:pPr>
            <w:r>
              <w:rPr>
                <w:sz w:val="28"/>
                <w:szCs w:val="28"/>
              </w:rPr>
              <w:t>Питома вага групи у загальній кількості, відсотків</w:t>
            </w:r>
          </w:p>
        </w:tc>
        <w:tc>
          <w:tcPr>
            <w:tcW w:w="2310" w:type="dxa"/>
            <w:gridSpan w:val="2"/>
            <w:shd w:val="clear" w:color="auto" w:fill="auto"/>
          </w:tcPr>
          <w:p w14:paraId="183D245A" w14:textId="77777777" w:rsidR="0039003F" w:rsidRDefault="005566B0">
            <w:pPr>
              <w:widowControl/>
              <w:tabs>
                <w:tab w:val="left" w:pos="1406"/>
              </w:tabs>
              <w:ind w:right="-68"/>
              <w:jc w:val="center"/>
              <w:rPr>
                <w:sz w:val="28"/>
                <w:szCs w:val="28"/>
              </w:rPr>
            </w:pPr>
            <w:r>
              <w:rPr>
                <w:sz w:val="28"/>
                <w:szCs w:val="28"/>
              </w:rPr>
              <w:t>43%</w:t>
            </w:r>
          </w:p>
        </w:tc>
        <w:tc>
          <w:tcPr>
            <w:tcW w:w="2145" w:type="dxa"/>
            <w:gridSpan w:val="2"/>
            <w:shd w:val="clear" w:color="auto" w:fill="auto"/>
          </w:tcPr>
          <w:p w14:paraId="7CA86237" w14:textId="77777777" w:rsidR="0039003F" w:rsidRDefault="005566B0">
            <w:pPr>
              <w:widowControl/>
              <w:tabs>
                <w:tab w:val="left" w:pos="1406"/>
              </w:tabs>
              <w:ind w:right="-40"/>
              <w:jc w:val="center"/>
              <w:rPr>
                <w:sz w:val="28"/>
                <w:szCs w:val="28"/>
              </w:rPr>
            </w:pPr>
            <w:r>
              <w:rPr>
                <w:sz w:val="28"/>
                <w:szCs w:val="28"/>
              </w:rPr>
              <w:t>57%</w:t>
            </w:r>
          </w:p>
        </w:tc>
        <w:tc>
          <w:tcPr>
            <w:tcW w:w="1073" w:type="dxa"/>
            <w:shd w:val="clear" w:color="auto" w:fill="auto"/>
          </w:tcPr>
          <w:p w14:paraId="62CCC9CB" w14:textId="77777777" w:rsidR="0039003F" w:rsidRDefault="005566B0">
            <w:pPr>
              <w:widowControl/>
              <w:tabs>
                <w:tab w:val="left" w:pos="1406"/>
              </w:tabs>
              <w:ind w:right="-68"/>
              <w:jc w:val="center"/>
              <w:rPr>
                <w:sz w:val="28"/>
                <w:szCs w:val="28"/>
              </w:rPr>
            </w:pPr>
            <w:r>
              <w:rPr>
                <w:sz w:val="28"/>
                <w:szCs w:val="28"/>
              </w:rPr>
              <w:t>100%</w:t>
            </w:r>
          </w:p>
        </w:tc>
      </w:tr>
    </w:tbl>
    <w:p w14:paraId="258971A4" w14:textId="77777777" w:rsidR="0039003F" w:rsidRDefault="005566B0">
      <w:pPr>
        <w:widowControl/>
        <w:tabs>
          <w:tab w:val="left" w:pos="1406"/>
        </w:tabs>
        <w:ind w:firstLine="709"/>
        <w:jc w:val="both"/>
        <w:rPr>
          <w:sz w:val="28"/>
          <w:szCs w:val="28"/>
          <w:highlight w:val="white"/>
        </w:rPr>
      </w:pPr>
      <w:r>
        <w:rPr>
          <w:sz w:val="28"/>
          <w:szCs w:val="28"/>
          <w:highlight w:val="white"/>
        </w:rPr>
        <w:t>*Дані згідно інформації Реєстру операторів, провайдерів телекомунікацій, розміщеної на сайті НКРЗІ станом на 16.11.2021.</w:t>
      </w:r>
    </w:p>
    <w:p w14:paraId="24D96F7B" w14:textId="77777777" w:rsidR="0039003F" w:rsidRDefault="0039003F">
      <w:pPr>
        <w:widowControl/>
        <w:pBdr>
          <w:top w:val="nil"/>
          <w:left w:val="nil"/>
          <w:bottom w:val="nil"/>
          <w:right w:val="nil"/>
          <w:between w:val="nil"/>
        </w:pBdr>
        <w:tabs>
          <w:tab w:val="left" w:pos="1406"/>
        </w:tabs>
        <w:ind w:firstLine="709"/>
        <w:jc w:val="both"/>
        <w:rPr>
          <w:color w:val="000000"/>
          <w:sz w:val="28"/>
          <w:szCs w:val="28"/>
        </w:rPr>
      </w:pPr>
    </w:p>
    <w:p w14:paraId="44967F6D" w14:textId="77777777" w:rsidR="0039003F" w:rsidRDefault="005566B0">
      <w:pPr>
        <w:widowControl/>
        <w:pBdr>
          <w:top w:val="nil"/>
          <w:left w:val="nil"/>
          <w:bottom w:val="nil"/>
          <w:right w:val="nil"/>
          <w:between w:val="nil"/>
        </w:pBdr>
        <w:tabs>
          <w:tab w:val="left" w:pos="1406"/>
        </w:tabs>
        <w:ind w:firstLine="709"/>
        <w:jc w:val="both"/>
        <w:rPr>
          <w:color w:val="000000"/>
          <w:sz w:val="28"/>
          <w:szCs w:val="28"/>
          <w:highlight w:val="white"/>
        </w:rPr>
      </w:pPr>
      <w:bookmarkStart w:id="3" w:name="_heading=h.2et92p0" w:colFirst="0" w:colLast="0"/>
      <w:bookmarkEnd w:id="3"/>
      <w:r>
        <w:rPr>
          <w:color w:val="000000"/>
          <w:sz w:val="28"/>
          <w:szCs w:val="28"/>
          <w:highlight w:val="white"/>
        </w:rPr>
        <w:t xml:space="preserve">Витрати </w:t>
      </w:r>
      <w:r>
        <w:rPr>
          <w:sz w:val="28"/>
          <w:szCs w:val="28"/>
          <w:highlight w:val="white"/>
        </w:rPr>
        <w:t>у</w:t>
      </w:r>
      <w:r>
        <w:rPr>
          <w:color w:val="000000"/>
          <w:sz w:val="28"/>
          <w:szCs w:val="28"/>
          <w:highlight w:val="white"/>
        </w:rPr>
        <w:t xml:space="preserve"> суб’єктів господарювання внаслідок дії регуляторного акта не виникатимуть, оскільки він спрямований на </w:t>
      </w:r>
      <w:r>
        <w:rPr>
          <w:sz w:val="28"/>
          <w:szCs w:val="28"/>
          <w:highlight w:val="white"/>
        </w:rPr>
        <w:t>встановлення рівня плати за додаткові об’єкти інфраструктури, а також встановлює граничний рівень плати за доступ</w:t>
      </w:r>
      <w:r>
        <w:rPr>
          <w:color w:val="000000"/>
          <w:sz w:val="28"/>
          <w:szCs w:val="28"/>
          <w:highlight w:val="white"/>
        </w:rPr>
        <w:t xml:space="preserve"> для розміщення </w:t>
      </w:r>
      <w:r>
        <w:rPr>
          <w:sz w:val="28"/>
          <w:szCs w:val="28"/>
          <w:highlight w:val="white"/>
        </w:rPr>
        <w:t>об'єктів</w:t>
      </w:r>
      <w:r>
        <w:rPr>
          <w:color w:val="000000"/>
          <w:sz w:val="28"/>
          <w:szCs w:val="28"/>
          <w:highlight w:val="white"/>
        </w:rPr>
        <w:t xml:space="preserve"> </w:t>
      </w:r>
      <w:r>
        <w:rPr>
          <w:sz w:val="28"/>
          <w:szCs w:val="28"/>
          <w:highlight w:val="white"/>
        </w:rPr>
        <w:t>телекомунікаційної інфраструктури</w:t>
      </w:r>
      <w:r>
        <w:rPr>
          <w:color w:val="000000"/>
          <w:sz w:val="28"/>
          <w:szCs w:val="28"/>
          <w:highlight w:val="white"/>
        </w:rPr>
        <w:t>.</w:t>
      </w:r>
    </w:p>
    <w:p w14:paraId="5CA345D9" w14:textId="77777777" w:rsidR="0039003F" w:rsidRDefault="0039003F">
      <w:pPr>
        <w:widowControl/>
        <w:pBdr>
          <w:top w:val="nil"/>
          <w:left w:val="nil"/>
          <w:bottom w:val="nil"/>
          <w:right w:val="nil"/>
          <w:between w:val="nil"/>
        </w:pBdr>
        <w:tabs>
          <w:tab w:val="left" w:pos="1406"/>
        </w:tabs>
        <w:ind w:firstLine="709"/>
        <w:jc w:val="both"/>
        <w:rPr>
          <w:color w:val="000000"/>
          <w:sz w:val="28"/>
          <w:szCs w:val="28"/>
          <w:highlight w:val="white"/>
        </w:rPr>
      </w:pPr>
    </w:p>
    <w:p w14:paraId="7EBB7A15" w14:textId="77777777" w:rsidR="0039003F" w:rsidRDefault="0039003F">
      <w:pPr>
        <w:widowControl/>
        <w:pBdr>
          <w:top w:val="nil"/>
          <w:left w:val="nil"/>
          <w:bottom w:val="nil"/>
          <w:right w:val="nil"/>
          <w:between w:val="nil"/>
        </w:pBdr>
        <w:tabs>
          <w:tab w:val="left" w:pos="1406"/>
        </w:tabs>
        <w:ind w:left="-284" w:right="140" w:firstLine="709"/>
        <w:jc w:val="both"/>
        <w:rPr>
          <w:color w:val="000000"/>
          <w:sz w:val="16"/>
          <w:szCs w:val="16"/>
        </w:rPr>
      </w:pPr>
    </w:p>
    <w:tbl>
      <w:tblPr>
        <w:tblStyle w:val="afff9"/>
        <w:tblW w:w="9639" w:type="dxa"/>
        <w:tblInd w:w="-5" w:type="dxa"/>
        <w:tblLayout w:type="fixed"/>
        <w:tblLook w:val="0000" w:firstRow="0" w:lastRow="0" w:firstColumn="0" w:lastColumn="0" w:noHBand="0" w:noVBand="0"/>
      </w:tblPr>
      <w:tblGrid>
        <w:gridCol w:w="2275"/>
        <w:gridCol w:w="3930"/>
        <w:gridCol w:w="3434"/>
      </w:tblGrid>
      <w:tr w:rsidR="0039003F" w14:paraId="7466E82B" w14:textId="77777777">
        <w:trPr>
          <w:trHeight w:val="229"/>
        </w:trPr>
        <w:tc>
          <w:tcPr>
            <w:tcW w:w="2275" w:type="dxa"/>
            <w:tcBorders>
              <w:top w:val="single" w:sz="4" w:space="0" w:color="000000"/>
              <w:left w:val="single" w:sz="4" w:space="0" w:color="000000"/>
              <w:bottom w:val="single" w:sz="4" w:space="0" w:color="000000"/>
            </w:tcBorders>
            <w:shd w:val="clear" w:color="auto" w:fill="auto"/>
          </w:tcPr>
          <w:p w14:paraId="7947792D" w14:textId="77777777" w:rsidR="0039003F" w:rsidRDefault="005566B0">
            <w:pPr>
              <w:widowControl/>
              <w:pBdr>
                <w:top w:val="nil"/>
                <w:left w:val="nil"/>
                <w:bottom w:val="nil"/>
                <w:right w:val="nil"/>
                <w:between w:val="nil"/>
              </w:pBdr>
              <w:ind w:left="10" w:right="33"/>
              <w:jc w:val="center"/>
              <w:rPr>
                <w:color w:val="000000"/>
                <w:sz w:val="28"/>
                <w:szCs w:val="28"/>
              </w:rPr>
            </w:pPr>
            <w:r>
              <w:rPr>
                <w:color w:val="000000"/>
                <w:sz w:val="28"/>
                <w:szCs w:val="28"/>
              </w:rPr>
              <w:t xml:space="preserve"> Вид альтернатив</w:t>
            </w:r>
          </w:p>
        </w:tc>
        <w:tc>
          <w:tcPr>
            <w:tcW w:w="3930" w:type="dxa"/>
            <w:tcBorders>
              <w:top w:val="single" w:sz="4" w:space="0" w:color="000000"/>
              <w:left w:val="single" w:sz="4" w:space="0" w:color="000000"/>
              <w:bottom w:val="single" w:sz="4" w:space="0" w:color="000000"/>
            </w:tcBorders>
            <w:shd w:val="clear" w:color="auto" w:fill="auto"/>
          </w:tcPr>
          <w:p w14:paraId="4600B5CC" w14:textId="77777777" w:rsidR="0039003F" w:rsidRDefault="005566B0">
            <w:pPr>
              <w:widowControl/>
              <w:pBdr>
                <w:top w:val="nil"/>
                <w:left w:val="nil"/>
                <w:bottom w:val="nil"/>
                <w:right w:val="nil"/>
                <w:between w:val="nil"/>
              </w:pBdr>
              <w:tabs>
                <w:tab w:val="left" w:pos="1406"/>
              </w:tabs>
              <w:ind w:left="10" w:right="33"/>
              <w:jc w:val="center"/>
              <w:rPr>
                <w:color w:val="000000"/>
                <w:sz w:val="28"/>
                <w:szCs w:val="28"/>
              </w:rPr>
            </w:pPr>
            <w:r>
              <w:rPr>
                <w:color w:val="000000"/>
                <w:sz w:val="28"/>
                <w:szCs w:val="28"/>
              </w:rPr>
              <w:t>Вигоди</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44B3617" w14:textId="77777777" w:rsidR="0039003F" w:rsidRDefault="005566B0">
            <w:pPr>
              <w:widowControl/>
              <w:pBdr>
                <w:top w:val="nil"/>
                <w:left w:val="nil"/>
                <w:bottom w:val="nil"/>
                <w:right w:val="nil"/>
                <w:between w:val="nil"/>
              </w:pBdr>
              <w:ind w:left="10" w:right="33"/>
              <w:jc w:val="center"/>
              <w:rPr>
                <w:color w:val="000000"/>
                <w:sz w:val="28"/>
                <w:szCs w:val="28"/>
              </w:rPr>
            </w:pPr>
            <w:r>
              <w:rPr>
                <w:color w:val="000000"/>
                <w:sz w:val="28"/>
                <w:szCs w:val="28"/>
              </w:rPr>
              <w:t>Витрати</w:t>
            </w:r>
          </w:p>
        </w:tc>
      </w:tr>
      <w:tr w:rsidR="0039003F" w14:paraId="751EBF05" w14:textId="77777777">
        <w:tc>
          <w:tcPr>
            <w:tcW w:w="2275" w:type="dxa"/>
            <w:tcBorders>
              <w:top w:val="single" w:sz="4" w:space="0" w:color="000000"/>
              <w:left w:val="single" w:sz="4" w:space="0" w:color="000000"/>
              <w:bottom w:val="single" w:sz="4" w:space="0" w:color="000000"/>
            </w:tcBorders>
            <w:shd w:val="clear" w:color="auto" w:fill="auto"/>
          </w:tcPr>
          <w:p w14:paraId="2AE5B554" w14:textId="77777777" w:rsidR="0039003F" w:rsidRDefault="005566B0">
            <w:pPr>
              <w:widowControl/>
              <w:pBdr>
                <w:top w:val="nil"/>
                <w:left w:val="nil"/>
                <w:bottom w:val="nil"/>
                <w:right w:val="nil"/>
                <w:between w:val="nil"/>
              </w:pBdr>
              <w:ind w:left="10" w:right="33"/>
              <w:jc w:val="center"/>
              <w:rPr>
                <w:color w:val="000000"/>
                <w:sz w:val="28"/>
                <w:szCs w:val="28"/>
              </w:rPr>
            </w:pPr>
            <w:r>
              <w:rPr>
                <w:color w:val="000000"/>
                <w:sz w:val="28"/>
                <w:szCs w:val="28"/>
              </w:rPr>
              <w:t>Альтернатива 1:</w:t>
            </w:r>
          </w:p>
          <w:p w14:paraId="496A2D29" w14:textId="77777777" w:rsidR="0039003F" w:rsidRDefault="005566B0">
            <w:pPr>
              <w:widowControl/>
              <w:pBdr>
                <w:top w:val="nil"/>
                <w:left w:val="nil"/>
                <w:bottom w:val="nil"/>
                <w:right w:val="nil"/>
                <w:between w:val="nil"/>
              </w:pBdr>
              <w:ind w:left="10" w:right="33"/>
              <w:jc w:val="center"/>
              <w:rPr>
                <w:color w:val="000000"/>
                <w:sz w:val="28"/>
                <w:szCs w:val="28"/>
              </w:rPr>
            </w:pPr>
            <w:r>
              <w:rPr>
                <w:color w:val="000000"/>
                <w:sz w:val="28"/>
                <w:szCs w:val="28"/>
              </w:rPr>
              <w:t>залишити регулювання без змін</w:t>
            </w:r>
          </w:p>
        </w:tc>
        <w:tc>
          <w:tcPr>
            <w:tcW w:w="3930" w:type="dxa"/>
            <w:tcBorders>
              <w:top w:val="single" w:sz="4" w:space="0" w:color="000000"/>
              <w:left w:val="single" w:sz="4" w:space="0" w:color="000000"/>
              <w:bottom w:val="single" w:sz="4" w:space="0" w:color="000000"/>
            </w:tcBorders>
            <w:shd w:val="clear" w:color="auto" w:fill="auto"/>
          </w:tcPr>
          <w:p w14:paraId="095348FA" w14:textId="77777777" w:rsidR="0039003F" w:rsidRDefault="005566B0">
            <w:pPr>
              <w:widowControl/>
              <w:pBdr>
                <w:top w:val="nil"/>
                <w:left w:val="nil"/>
                <w:bottom w:val="nil"/>
                <w:right w:val="nil"/>
                <w:between w:val="nil"/>
              </w:pBdr>
              <w:tabs>
                <w:tab w:val="left" w:pos="1406"/>
              </w:tabs>
              <w:ind w:left="10" w:right="33"/>
              <w:jc w:val="center"/>
              <w:rPr>
                <w:color w:val="000000"/>
                <w:sz w:val="28"/>
                <w:szCs w:val="28"/>
              </w:rPr>
            </w:pPr>
            <w:r>
              <w:rPr>
                <w:color w:val="000000"/>
                <w:sz w:val="28"/>
                <w:szCs w:val="28"/>
              </w:rPr>
              <w:t>Відсутні</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B235272" w14:textId="77777777" w:rsidR="0039003F" w:rsidRDefault="005566B0">
            <w:pPr>
              <w:widowControl/>
              <w:pBdr>
                <w:top w:val="nil"/>
                <w:left w:val="nil"/>
                <w:bottom w:val="nil"/>
                <w:right w:val="nil"/>
                <w:between w:val="nil"/>
              </w:pBdr>
              <w:ind w:left="10" w:right="33"/>
              <w:jc w:val="center"/>
              <w:rPr>
                <w:b/>
                <w:color w:val="000000"/>
                <w:sz w:val="28"/>
                <w:szCs w:val="28"/>
              </w:rPr>
            </w:pPr>
            <w:r>
              <w:rPr>
                <w:color w:val="000000"/>
                <w:sz w:val="28"/>
                <w:szCs w:val="28"/>
              </w:rPr>
              <w:t>Наявн</w:t>
            </w:r>
            <w:r>
              <w:rPr>
                <w:sz w:val="28"/>
                <w:szCs w:val="28"/>
              </w:rPr>
              <w:t>і, оскільки час та процедура надання доступу до нежитлових будівель не врегульована Законом про Доступ.</w:t>
            </w:r>
          </w:p>
        </w:tc>
      </w:tr>
      <w:tr w:rsidR="0039003F" w14:paraId="28FB92DB" w14:textId="77777777">
        <w:trPr>
          <w:trHeight w:val="699"/>
        </w:trPr>
        <w:tc>
          <w:tcPr>
            <w:tcW w:w="2275" w:type="dxa"/>
            <w:tcBorders>
              <w:top w:val="single" w:sz="4" w:space="0" w:color="000000"/>
              <w:left w:val="single" w:sz="4" w:space="0" w:color="000000"/>
              <w:bottom w:val="single" w:sz="4" w:space="0" w:color="000000"/>
            </w:tcBorders>
            <w:shd w:val="clear" w:color="auto" w:fill="auto"/>
          </w:tcPr>
          <w:p w14:paraId="37931A54" w14:textId="77777777" w:rsidR="0039003F" w:rsidRDefault="005566B0">
            <w:pPr>
              <w:widowControl/>
              <w:pBdr>
                <w:top w:val="nil"/>
                <w:left w:val="nil"/>
                <w:bottom w:val="nil"/>
                <w:right w:val="nil"/>
                <w:between w:val="nil"/>
              </w:pBdr>
              <w:ind w:left="10" w:right="33"/>
              <w:jc w:val="center"/>
              <w:rPr>
                <w:color w:val="000000"/>
                <w:sz w:val="28"/>
                <w:szCs w:val="28"/>
              </w:rPr>
            </w:pPr>
            <w:r>
              <w:rPr>
                <w:color w:val="000000"/>
                <w:sz w:val="28"/>
                <w:szCs w:val="28"/>
              </w:rPr>
              <w:t>Альтернатива 2:</w:t>
            </w:r>
          </w:p>
          <w:p w14:paraId="2165D791" w14:textId="77777777" w:rsidR="0039003F" w:rsidRDefault="005566B0">
            <w:pPr>
              <w:widowControl/>
              <w:pBdr>
                <w:top w:val="nil"/>
                <w:left w:val="nil"/>
                <w:bottom w:val="nil"/>
                <w:right w:val="nil"/>
                <w:between w:val="nil"/>
              </w:pBdr>
              <w:ind w:left="10" w:right="33"/>
              <w:jc w:val="center"/>
              <w:rPr>
                <w:color w:val="000000"/>
                <w:sz w:val="28"/>
                <w:szCs w:val="28"/>
              </w:rPr>
            </w:pPr>
            <w:r>
              <w:rPr>
                <w:color w:val="000000"/>
                <w:sz w:val="28"/>
                <w:szCs w:val="28"/>
              </w:rPr>
              <w:t>прийняття Закону</w:t>
            </w:r>
          </w:p>
        </w:tc>
        <w:tc>
          <w:tcPr>
            <w:tcW w:w="3930" w:type="dxa"/>
            <w:tcBorders>
              <w:top w:val="single" w:sz="4" w:space="0" w:color="000000"/>
              <w:left w:val="single" w:sz="4" w:space="0" w:color="000000"/>
              <w:bottom w:val="single" w:sz="4" w:space="0" w:color="000000"/>
            </w:tcBorders>
            <w:shd w:val="clear" w:color="auto" w:fill="auto"/>
          </w:tcPr>
          <w:p w14:paraId="5B0BA15A" w14:textId="77777777" w:rsidR="0039003F" w:rsidRDefault="005566B0">
            <w:pPr>
              <w:ind w:left="10" w:right="33"/>
              <w:jc w:val="both"/>
              <w:rPr>
                <w:sz w:val="28"/>
                <w:szCs w:val="28"/>
                <w:highlight w:val="white"/>
              </w:rPr>
            </w:pPr>
            <w:r>
              <w:rPr>
                <w:sz w:val="28"/>
                <w:szCs w:val="28"/>
                <w:highlight w:val="white"/>
              </w:rPr>
              <w:t>Високі, оскільки буде вирішено питання щодо отримання доступу до інфраструктури до об’єктів нежитлового будівництва, а також у разі невстановлення рівня плати за доступ органами місцевого самоврядування.</w:t>
            </w:r>
          </w:p>
          <w:p w14:paraId="6839E511" w14:textId="77777777" w:rsidR="0039003F" w:rsidRDefault="0039003F">
            <w:pPr>
              <w:ind w:left="10" w:right="33"/>
              <w:jc w:val="both"/>
              <w:rPr>
                <w:sz w:val="28"/>
                <w:szCs w:val="28"/>
                <w:highlight w:val="white"/>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015A22F" w14:textId="77777777" w:rsidR="0039003F" w:rsidRDefault="005566B0">
            <w:pPr>
              <w:widowControl/>
              <w:pBdr>
                <w:top w:val="nil"/>
                <w:left w:val="nil"/>
                <w:bottom w:val="nil"/>
                <w:right w:val="nil"/>
                <w:between w:val="nil"/>
              </w:pBdr>
              <w:ind w:left="10" w:right="33"/>
              <w:jc w:val="center"/>
              <w:rPr>
                <w:color w:val="000000"/>
                <w:sz w:val="28"/>
                <w:szCs w:val="28"/>
              </w:rPr>
            </w:pPr>
            <w:r>
              <w:rPr>
                <w:color w:val="000000"/>
                <w:sz w:val="28"/>
                <w:szCs w:val="28"/>
              </w:rPr>
              <w:t>Відсутні</w:t>
            </w:r>
          </w:p>
        </w:tc>
      </w:tr>
    </w:tbl>
    <w:p w14:paraId="563DB4B9" w14:textId="77777777" w:rsidR="0039003F" w:rsidRDefault="0039003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sz w:val="28"/>
          <w:szCs w:val="28"/>
          <w:highlight w:val="white"/>
        </w:rPr>
      </w:pPr>
    </w:p>
    <w:p w14:paraId="184AFCE5" w14:textId="77777777" w:rsidR="0039003F" w:rsidRDefault="005566B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9"/>
        <w:jc w:val="both"/>
        <w:rPr>
          <w:color w:val="000000"/>
          <w:sz w:val="28"/>
          <w:szCs w:val="28"/>
          <w:highlight w:val="white"/>
        </w:rPr>
      </w:pPr>
      <w:r>
        <w:rPr>
          <w:color w:val="000000"/>
          <w:sz w:val="28"/>
          <w:szCs w:val="28"/>
          <w:highlight w:val="white"/>
        </w:rPr>
        <w:t xml:space="preserve">Витрати внаслідок дії самого регуляторного акта для суб’єктів господарювання виникати не будуть, оскільки буде </w:t>
      </w:r>
      <w:r>
        <w:rPr>
          <w:sz w:val="28"/>
          <w:szCs w:val="28"/>
          <w:highlight w:val="white"/>
        </w:rPr>
        <w:t>врегульовано максимальну граничну вартість плати за доступ, рівень фактичної плати буде регулюватись згідно відповідних методик визначення плати за доступ до елементів інфраструктури.</w:t>
      </w:r>
    </w:p>
    <w:p w14:paraId="0FD48EF2" w14:textId="77777777" w:rsidR="0039003F" w:rsidRDefault="0039003F">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firstLine="705"/>
        <w:jc w:val="both"/>
        <w:rPr>
          <w:sz w:val="28"/>
          <w:szCs w:val="28"/>
        </w:rPr>
      </w:pPr>
    </w:p>
    <w:p w14:paraId="687CA4C4" w14:textId="77777777" w:rsidR="0039003F" w:rsidRDefault="005566B0">
      <w:pPr>
        <w:widowControl/>
        <w:pBdr>
          <w:top w:val="nil"/>
          <w:left w:val="nil"/>
          <w:bottom w:val="nil"/>
          <w:right w:val="nil"/>
          <w:between w:val="nil"/>
        </w:pBd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Pr>
          <w:b/>
          <w:color w:val="000000"/>
          <w:sz w:val="28"/>
          <w:szCs w:val="28"/>
        </w:rPr>
        <w:t>IV. Вибір найбільш оптимального альтернативного способу досягнення цілей</w:t>
      </w:r>
    </w:p>
    <w:p w14:paraId="10C9DEA7" w14:textId="77777777" w:rsidR="0039003F" w:rsidRDefault="005566B0">
      <w:pPr>
        <w:widowControl/>
        <w:pBdr>
          <w:top w:val="nil"/>
          <w:left w:val="nil"/>
          <w:bottom w:val="nil"/>
          <w:right w:val="nil"/>
          <w:between w:val="nil"/>
        </w:pBdr>
        <w:ind w:firstLine="709"/>
        <w:jc w:val="both"/>
        <w:rPr>
          <w:color w:val="000000"/>
          <w:sz w:val="24"/>
          <w:szCs w:val="24"/>
        </w:rPr>
      </w:pPr>
      <w:r>
        <w:rPr>
          <w:color w:val="000000"/>
          <w:sz w:val="28"/>
          <w:szCs w:val="28"/>
        </w:rPr>
        <w:t>Здійсн</w:t>
      </w:r>
      <w:r>
        <w:rPr>
          <w:sz w:val="28"/>
          <w:szCs w:val="28"/>
        </w:rPr>
        <w:t>ення</w:t>
      </w:r>
      <w:r>
        <w:rPr>
          <w:color w:val="000000"/>
          <w:sz w:val="28"/>
          <w:szCs w:val="28"/>
        </w:rPr>
        <w:t xml:space="preserve"> виб</w:t>
      </w:r>
      <w:r>
        <w:rPr>
          <w:sz w:val="28"/>
          <w:szCs w:val="28"/>
        </w:rPr>
        <w:t>ору</w:t>
      </w:r>
      <w:r>
        <w:rPr>
          <w:color w:val="000000"/>
          <w:sz w:val="28"/>
          <w:szCs w:val="28"/>
        </w:rPr>
        <w:t xml:space="preserve"> оптимального альтернативного способу з урахуванням системи бальної оцінки ступеня досягнення визначених цілей.</w:t>
      </w:r>
    </w:p>
    <w:p w14:paraId="2B6F7247" w14:textId="77777777" w:rsidR="0039003F" w:rsidRDefault="005566B0">
      <w:pPr>
        <w:widowControl/>
        <w:pBdr>
          <w:top w:val="nil"/>
          <w:left w:val="nil"/>
          <w:bottom w:val="nil"/>
          <w:right w:val="nil"/>
          <w:between w:val="nil"/>
        </w:pBdr>
        <w:ind w:firstLine="709"/>
        <w:jc w:val="both"/>
        <w:rPr>
          <w:color w:val="000000"/>
          <w:sz w:val="28"/>
          <w:szCs w:val="28"/>
          <w:highlight w:val="white"/>
        </w:rPr>
      </w:pPr>
      <w:r>
        <w:rPr>
          <w:color w:val="000000"/>
          <w:sz w:val="28"/>
          <w:szCs w:val="28"/>
        </w:rPr>
        <w:t xml:space="preserve">Вартість </w:t>
      </w:r>
      <w:r>
        <w:rPr>
          <w:color w:val="000000"/>
          <w:sz w:val="28"/>
          <w:szCs w:val="28"/>
          <w:highlight w:val="white"/>
        </w:rPr>
        <w:t>балів визначається за чотирибальною системою оцінки ступеня досягнення визначених цілей, де:</w:t>
      </w:r>
    </w:p>
    <w:p w14:paraId="6D7FDDD0" w14:textId="77777777" w:rsidR="0039003F" w:rsidRDefault="005566B0">
      <w:pPr>
        <w:widowControl/>
        <w:pBdr>
          <w:top w:val="nil"/>
          <w:left w:val="nil"/>
          <w:bottom w:val="nil"/>
          <w:right w:val="nil"/>
          <w:between w:val="nil"/>
        </w:pBdr>
        <w:ind w:firstLine="709"/>
        <w:jc w:val="both"/>
        <w:rPr>
          <w:color w:val="000000"/>
          <w:sz w:val="28"/>
          <w:szCs w:val="28"/>
          <w:highlight w:val="white"/>
        </w:rPr>
      </w:pPr>
      <w:r>
        <w:rPr>
          <w:color w:val="000000"/>
          <w:sz w:val="28"/>
          <w:szCs w:val="28"/>
          <w:highlight w:val="white"/>
        </w:rPr>
        <w:t>1) цілі прийняття Закону, які не можуть бути досягнуті (проблема продовжує існувати);</w:t>
      </w:r>
    </w:p>
    <w:p w14:paraId="5D6D7477" w14:textId="77777777" w:rsidR="0039003F" w:rsidRDefault="005566B0">
      <w:pPr>
        <w:widowControl/>
        <w:pBdr>
          <w:top w:val="nil"/>
          <w:left w:val="nil"/>
          <w:bottom w:val="nil"/>
          <w:right w:val="nil"/>
          <w:between w:val="nil"/>
        </w:pBdr>
        <w:ind w:firstLine="709"/>
        <w:jc w:val="both"/>
        <w:rPr>
          <w:color w:val="000000"/>
          <w:sz w:val="28"/>
          <w:szCs w:val="28"/>
          <w:highlight w:val="white"/>
        </w:rPr>
      </w:pPr>
      <w:r>
        <w:rPr>
          <w:color w:val="000000"/>
          <w:sz w:val="28"/>
          <w:szCs w:val="28"/>
          <w:highlight w:val="white"/>
        </w:rPr>
        <w:t>2) цілі прийняття Закону, які можуть бути досягнуті частково (проблема значно зменшиться, деякі важливі та критичні аспекти проблеми залишаться невирішеними);</w:t>
      </w:r>
    </w:p>
    <w:p w14:paraId="4B19D578" w14:textId="77777777" w:rsidR="0039003F" w:rsidRDefault="005566B0">
      <w:pPr>
        <w:widowControl/>
        <w:pBdr>
          <w:top w:val="nil"/>
          <w:left w:val="nil"/>
          <w:bottom w:val="nil"/>
          <w:right w:val="nil"/>
          <w:between w:val="nil"/>
        </w:pBdr>
        <w:ind w:firstLine="709"/>
        <w:jc w:val="both"/>
        <w:rPr>
          <w:color w:val="000000"/>
          <w:sz w:val="28"/>
          <w:szCs w:val="28"/>
          <w:highlight w:val="white"/>
        </w:rPr>
      </w:pPr>
      <w:r>
        <w:rPr>
          <w:color w:val="000000"/>
          <w:sz w:val="28"/>
          <w:szCs w:val="28"/>
          <w:highlight w:val="white"/>
        </w:rPr>
        <w:t>3) цілі прийняття Закону, які можуть бути досягнуті майже  повною мірою (усі важливі аспекти проблеми існувати не будуть);</w:t>
      </w:r>
    </w:p>
    <w:p w14:paraId="391F2713" w14:textId="77777777" w:rsidR="0039003F" w:rsidRDefault="005566B0">
      <w:pPr>
        <w:widowControl/>
        <w:pBdr>
          <w:top w:val="nil"/>
          <w:left w:val="nil"/>
          <w:bottom w:val="nil"/>
          <w:right w:val="nil"/>
          <w:between w:val="nil"/>
        </w:pBdr>
        <w:ind w:firstLine="709"/>
        <w:jc w:val="both"/>
        <w:rPr>
          <w:color w:val="000000"/>
          <w:sz w:val="28"/>
          <w:szCs w:val="28"/>
          <w:highlight w:val="white"/>
        </w:rPr>
      </w:pPr>
      <w:r>
        <w:rPr>
          <w:color w:val="000000"/>
          <w:sz w:val="28"/>
          <w:szCs w:val="28"/>
          <w:highlight w:val="white"/>
        </w:rPr>
        <w:lastRenderedPageBreak/>
        <w:t>4) цілі прийняття Закону, які можуть бути досягнуті повною мірою (проблема більше існувати не буде).</w:t>
      </w:r>
    </w:p>
    <w:p w14:paraId="7B2ACC81" w14:textId="77777777" w:rsidR="0039003F" w:rsidRDefault="0039003F">
      <w:pPr>
        <w:widowControl/>
        <w:pBdr>
          <w:top w:val="nil"/>
          <w:left w:val="nil"/>
          <w:bottom w:val="nil"/>
          <w:right w:val="nil"/>
          <w:between w:val="nil"/>
        </w:pBdr>
        <w:jc w:val="both"/>
        <w:rPr>
          <w:color w:val="000000"/>
          <w:sz w:val="16"/>
          <w:szCs w:val="16"/>
        </w:rPr>
      </w:pPr>
    </w:p>
    <w:tbl>
      <w:tblPr>
        <w:tblStyle w:val="afffa"/>
        <w:tblW w:w="9623" w:type="dxa"/>
        <w:tblInd w:w="11" w:type="dxa"/>
        <w:tblLayout w:type="fixed"/>
        <w:tblLook w:val="0000" w:firstRow="0" w:lastRow="0" w:firstColumn="0" w:lastColumn="0" w:noHBand="0" w:noVBand="0"/>
      </w:tblPr>
      <w:tblGrid>
        <w:gridCol w:w="2820"/>
        <w:gridCol w:w="2700"/>
        <w:gridCol w:w="4103"/>
      </w:tblGrid>
      <w:tr w:rsidR="0039003F" w14:paraId="4826A97F" w14:textId="77777777">
        <w:tc>
          <w:tcPr>
            <w:tcW w:w="2820" w:type="dxa"/>
            <w:tcBorders>
              <w:top w:val="single" w:sz="4" w:space="0" w:color="000000"/>
              <w:left w:val="single" w:sz="4" w:space="0" w:color="000000"/>
              <w:bottom w:val="single" w:sz="4" w:space="0" w:color="000000"/>
            </w:tcBorders>
            <w:shd w:val="clear" w:color="auto" w:fill="auto"/>
          </w:tcPr>
          <w:p w14:paraId="33F47171" w14:textId="77777777" w:rsidR="0039003F" w:rsidRDefault="005566B0">
            <w:pPr>
              <w:widowControl/>
              <w:pBdr>
                <w:top w:val="nil"/>
                <w:left w:val="nil"/>
                <w:bottom w:val="nil"/>
                <w:right w:val="nil"/>
                <w:between w:val="nil"/>
              </w:pBdr>
              <w:ind w:left="-127" w:right="-117"/>
              <w:jc w:val="center"/>
              <w:rPr>
                <w:color w:val="000000"/>
                <w:sz w:val="28"/>
                <w:szCs w:val="28"/>
              </w:rPr>
            </w:pPr>
            <w:r>
              <w:rPr>
                <w:color w:val="000000"/>
                <w:sz w:val="28"/>
                <w:szCs w:val="28"/>
              </w:rPr>
              <w:t>Рейтинг результативності (досягнення цілей під час вирішення проблеми)</w:t>
            </w:r>
          </w:p>
        </w:tc>
        <w:tc>
          <w:tcPr>
            <w:tcW w:w="2700" w:type="dxa"/>
            <w:tcBorders>
              <w:top w:val="single" w:sz="4" w:space="0" w:color="000000"/>
              <w:left w:val="single" w:sz="4" w:space="0" w:color="000000"/>
              <w:bottom w:val="single" w:sz="4" w:space="0" w:color="000000"/>
            </w:tcBorders>
            <w:shd w:val="clear" w:color="auto" w:fill="auto"/>
          </w:tcPr>
          <w:p w14:paraId="43B0CA33" w14:textId="77777777" w:rsidR="0039003F" w:rsidRDefault="005566B0">
            <w:pPr>
              <w:widowControl/>
              <w:pBdr>
                <w:top w:val="nil"/>
                <w:left w:val="nil"/>
                <w:bottom w:val="nil"/>
                <w:right w:val="nil"/>
                <w:between w:val="nil"/>
              </w:pBdr>
              <w:ind w:left="-107" w:right="-105"/>
              <w:jc w:val="center"/>
              <w:rPr>
                <w:color w:val="000000"/>
                <w:sz w:val="28"/>
                <w:szCs w:val="28"/>
              </w:rPr>
            </w:pPr>
            <w:r>
              <w:rPr>
                <w:color w:val="000000"/>
                <w:sz w:val="28"/>
                <w:szCs w:val="28"/>
              </w:rPr>
              <w:t>Бал результативності</w:t>
            </w:r>
          </w:p>
          <w:p w14:paraId="7049F1AC" w14:textId="77777777" w:rsidR="0039003F" w:rsidRDefault="005566B0">
            <w:pPr>
              <w:widowControl/>
              <w:pBdr>
                <w:top w:val="nil"/>
                <w:left w:val="nil"/>
                <w:bottom w:val="nil"/>
                <w:right w:val="nil"/>
                <w:between w:val="nil"/>
              </w:pBdr>
              <w:ind w:left="-107" w:right="-105"/>
              <w:jc w:val="center"/>
              <w:rPr>
                <w:color w:val="000000"/>
                <w:sz w:val="28"/>
                <w:szCs w:val="28"/>
              </w:rPr>
            </w:pPr>
            <w:r>
              <w:rPr>
                <w:color w:val="000000"/>
                <w:sz w:val="28"/>
                <w:szCs w:val="28"/>
              </w:rPr>
              <w:t>(за чотирибальною системою оцінки)</w:t>
            </w:r>
          </w:p>
        </w:tc>
        <w:tc>
          <w:tcPr>
            <w:tcW w:w="4103" w:type="dxa"/>
            <w:tcBorders>
              <w:top w:val="single" w:sz="4" w:space="0" w:color="000000"/>
              <w:left w:val="single" w:sz="4" w:space="0" w:color="000000"/>
              <w:bottom w:val="single" w:sz="4" w:space="0" w:color="000000"/>
              <w:right w:val="single" w:sz="4" w:space="0" w:color="000000"/>
            </w:tcBorders>
            <w:shd w:val="clear" w:color="auto" w:fill="auto"/>
          </w:tcPr>
          <w:p w14:paraId="5FC949F2" w14:textId="77777777" w:rsidR="0039003F" w:rsidRDefault="005566B0">
            <w:pPr>
              <w:widowControl/>
              <w:pBdr>
                <w:top w:val="nil"/>
                <w:left w:val="nil"/>
                <w:bottom w:val="nil"/>
                <w:right w:val="nil"/>
                <w:between w:val="nil"/>
              </w:pBdr>
              <w:ind w:right="30"/>
              <w:jc w:val="center"/>
              <w:rPr>
                <w:color w:val="000000"/>
                <w:sz w:val="28"/>
                <w:szCs w:val="28"/>
              </w:rPr>
            </w:pPr>
            <w:r>
              <w:rPr>
                <w:color w:val="000000"/>
                <w:sz w:val="28"/>
                <w:szCs w:val="28"/>
              </w:rPr>
              <w:t>Коментарі щодо присвоєння відповідного бала</w:t>
            </w:r>
          </w:p>
        </w:tc>
      </w:tr>
      <w:tr w:rsidR="0039003F" w14:paraId="1CCDA301" w14:textId="77777777">
        <w:tc>
          <w:tcPr>
            <w:tcW w:w="2820" w:type="dxa"/>
            <w:tcBorders>
              <w:top w:val="single" w:sz="4" w:space="0" w:color="000000"/>
              <w:left w:val="single" w:sz="4" w:space="0" w:color="000000"/>
              <w:bottom w:val="single" w:sz="4" w:space="0" w:color="000000"/>
            </w:tcBorders>
            <w:shd w:val="clear" w:color="auto" w:fill="auto"/>
          </w:tcPr>
          <w:p w14:paraId="0E414C26"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Альтернатива 1:</w:t>
            </w:r>
          </w:p>
          <w:p w14:paraId="7A130D91"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залишити регулювання без змін</w:t>
            </w:r>
          </w:p>
        </w:tc>
        <w:tc>
          <w:tcPr>
            <w:tcW w:w="2700" w:type="dxa"/>
            <w:tcBorders>
              <w:top w:val="single" w:sz="4" w:space="0" w:color="000000"/>
              <w:left w:val="single" w:sz="4" w:space="0" w:color="000000"/>
              <w:bottom w:val="single" w:sz="4" w:space="0" w:color="000000"/>
            </w:tcBorders>
            <w:shd w:val="clear" w:color="auto" w:fill="auto"/>
          </w:tcPr>
          <w:p w14:paraId="47FC639E"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1</w:t>
            </w:r>
          </w:p>
        </w:tc>
        <w:tc>
          <w:tcPr>
            <w:tcW w:w="4103" w:type="dxa"/>
            <w:tcBorders>
              <w:top w:val="single" w:sz="4" w:space="0" w:color="000000"/>
              <w:left w:val="single" w:sz="4" w:space="0" w:color="000000"/>
              <w:bottom w:val="single" w:sz="4" w:space="0" w:color="000000"/>
              <w:right w:val="single" w:sz="4" w:space="0" w:color="000000"/>
            </w:tcBorders>
            <w:shd w:val="clear" w:color="auto" w:fill="auto"/>
          </w:tcPr>
          <w:p w14:paraId="38868CA0"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Проблема продовжить існувати.</w:t>
            </w:r>
          </w:p>
        </w:tc>
      </w:tr>
      <w:tr w:rsidR="0039003F" w14:paraId="78C80A01" w14:textId="77777777">
        <w:tc>
          <w:tcPr>
            <w:tcW w:w="2820" w:type="dxa"/>
            <w:tcBorders>
              <w:top w:val="single" w:sz="4" w:space="0" w:color="000000"/>
              <w:left w:val="single" w:sz="4" w:space="0" w:color="000000"/>
              <w:bottom w:val="single" w:sz="4" w:space="0" w:color="000000"/>
            </w:tcBorders>
            <w:shd w:val="clear" w:color="auto" w:fill="auto"/>
          </w:tcPr>
          <w:p w14:paraId="17F31EC7"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Альтернатива 2:</w:t>
            </w:r>
          </w:p>
          <w:p w14:paraId="64F081B9"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прийняття Закону</w:t>
            </w:r>
          </w:p>
        </w:tc>
        <w:tc>
          <w:tcPr>
            <w:tcW w:w="2700" w:type="dxa"/>
            <w:tcBorders>
              <w:top w:val="single" w:sz="4" w:space="0" w:color="000000"/>
              <w:left w:val="single" w:sz="4" w:space="0" w:color="000000"/>
              <w:bottom w:val="single" w:sz="4" w:space="0" w:color="000000"/>
            </w:tcBorders>
            <w:shd w:val="clear" w:color="auto" w:fill="auto"/>
          </w:tcPr>
          <w:p w14:paraId="79AD7058"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4</w:t>
            </w:r>
          </w:p>
        </w:tc>
        <w:tc>
          <w:tcPr>
            <w:tcW w:w="4103" w:type="dxa"/>
            <w:tcBorders>
              <w:top w:val="single" w:sz="4" w:space="0" w:color="000000"/>
              <w:left w:val="single" w:sz="4" w:space="0" w:color="000000"/>
              <w:bottom w:val="single" w:sz="4" w:space="0" w:color="000000"/>
              <w:right w:val="single" w:sz="4" w:space="0" w:color="000000"/>
            </w:tcBorders>
            <w:shd w:val="clear" w:color="auto" w:fill="auto"/>
          </w:tcPr>
          <w:p w14:paraId="0DBBCD84"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Зазначений спосіб дає змогу повною мірою досягнути цілей державного регулювання.</w:t>
            </w:r>
          </w:p>
        </w:tc>
      </w:tr>
    </w:tbl>
    <w:p w14:paraId="2D34CC63" w14:textId="77777777" w:rsidR="0039003F" w:rsidRDefault="0039003F">
      <w:pPr>
        <w:widowControl/>
        <w:pBdr>
          <w:top w:val="nil"/>
          <w:left w:val="nil"/>
          <w:bottom w:val="nil"/>
          <w:right w:val="nil"/>
          <w:between w:val="nil"/>
        </w:pBdr>
        <w:tabs>
          <w:tab w:val="left" w:pos="1406"/>
        </w:tabs>
        <w:ind w:left="-284" w:right="140" w:firstLine="709"/>
        <w:jc w:val="both"/>
        <w:rPr>
          <w:color w:val="000000"/>
          <w:sz w:val="24"/>
          <w:szCs w:val="24"/>
        </w:rPr>
      </w:pPr>
    </w:p>
    <w:tbl>
      <w:tblPr>
        <w:tblStyle w:val="afffb"/>
        <w:tblW w:w="9675" w:type="dxa"/>
        <w:tblInd w:w="-5" w:type="dxa"/>
        <w:tblLayout w:type="fixed"/>
        <w:tblLook w:val="0000" w:firstRow="0" w:lastRow="0" w:firstColumn="0" w:lastColumn="0" w:noHBand="0" w:noVBand="0"/>
      </w:tblPr>
      <w:tblGrid>
        <w:gridCol w:w="1920"/>
        <w:gridCol w:w="2616"/>
        <w:gridCol w:w="2784"/>
        <w:gridCol w:w="2355"/>
      </w:tblGrid>
      <w:tr w:rsidR="0039003F" w14:paraId="17B32236" w14:textId="77777777">
        <w:trPr>
          <w:trHeight w:val="550"/>
        </w:trPr>
        <w:tc>
          <w:tcPr>
            <w:tcW w:w="1920" w:type="dxa"/>
            <w:tcBorders>
              <w:top w:val="single" w:sz="4" w:space="0" w:color="000000"/>
              <w:left w:val="single" w:sz="4" w:space="0" w:color="000000"/>
              <w:bottom w:val="single" w:sz="4" w:space="0" w:color="000000"/>
            </w:tcBorders>
            <w:shd w:val="clear" w:color="auto" w:fill="auto"/>
          </w:tcPr>
          <w:p w14:paraId="5D91CDE6" w14:textId="77777777" w:rsidR="0039003F" w:rsidRDefault="005566B0">
            <w:pPr>
              <w:widowControl/>
              <w:pBdr>
                <w:top w:val="nil"/>
                <w:left w:val="nil"/>
                <w:bottom w:val="nil"/>
                <w:right w:val="nil"/>
                <w:between w:val="nil"/>
              </w:pBdr>
              <w:ind w:left="10" w:right="-102"/>
              <w:jc w:val="center"/>
              <w:rPr>
                <w:color w:val="000000"/>
                <w:sz w:val="28"/>
                <w:szCs w:val="28"/>
              </w:rPr>
            </w:pPr>
            <w:r>
              <w:rPr>
                <w:color w:val="000000"/>
                <w:sz w:val="28"/>
                <w:szCs w:val="28"/>
              </w:rPr>
              <w:t>Рейтинг результативності</w:t>
            </w:r>
          </w:p>
        </w:tc>
        <w:tc>
          <w:tcPr>
            <w:tcW w:w="2616" w:type="dxa"/>
            <w:tcBorders>
              <w:top w:val="single" w:sz="4" w:space="0" w:color="000000"/>
              <w:left w:val="single" w:sz="4" w:space="0" w:color="000000"/>
              <w:bottom w:val="single" w:sz="4" w:space="0" w:color="000000"/>
            </w:tcBorders>
            <w:shd w:val="clear" w:color="auto" w:fill="auto"/>
          </w:tcPr>
          <w:p w14:paraId="3D94EBE3" w14:textId="77777777" w:rsidR="0039003F" w:rsidRDefault="005566B0">
            <w:pPr>
              <w:widowControl/>
              <w:pBdr>
                <w:top w:val="nil"/>
                <w:left w:val="nil"/>
                <w:bottom w:val="nil"/>
                <w:right w:val="nil"/>
                <w:between w:val="nil"/>
              </w:pBdr>
              <w:ind w:right="140"/>
              <w:jc w:val="center"/>
              <w:rPr>
                <w:color w:val="000000"/>
                <w:sz w:val="28"/>
                <w:szCs w:val="28"/>
              </w:rPr>
            </w:pPr>
            <w:r>
              <w:rPr>
                <w:color w:val="000000"/>
                <w:sz w:val="28"/>
                <w:szCs w:val="28"/>
              </w:rPr>
              <w:t>Вигоди (підсумок)</w:t>
            </w:r>
          </w:p>
        </w:tc>
        <w:tc>
          <w:tcPr>
            <w:tcW w:w="2784" w:type="dxa"/>
            <w:tcBorders>
              <w:top w:val="single" w:sz="4" w:space="0" w:color="000000"/>
              <w:left w:val="single" w:sz="4" w:space="0" w:color="000000"/>
              <w:bottom w:val="single" w:sz="4" w:space="0" w:color="000000"/>
            </w:tcBorders>
            <w:shd w:val="clear" w:color="auto" w:fill="auto"/>
          </w:tcPr>
          <w:p w14:paraId="152A3C8F" w14:textId="77777777" w:rsidR="0039003F" w:rsidRDefault="005566B0">
            <w:pPr>
              <w:widowControl/>
              <w:pBdr>
                <w:top w:val="nil"/>
                <w:left w:val="nil"/>
                <w:bottom w:val="nil"/>
                <w:right w:val="nil"/>
                <w:between w:val="nil"/>
              </w:pBdr>
              <w:ind w:left="-104"/>
              <w:jc w:val="center"/>
              <w:rPr>
                <w:color w:val="000000"/>
                <w:sz w:val="28"/>
                <w:szCs w:val="28"/>
              </w:rPr>
            </w:pPr>
            <w:r>
              <w:rPr>
                <w:color w:val="000000"/>
                <w:sz w:val="28"/>
                <w:szCs w:val="28"/>
              </w:rPr>
              <w:t>Витрати (підсумок)</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1061EC4E" w14:textId="77777777" w:rsidR="0039003F" w:rsidRDefault="005566B0">
            <w:pPr>
              <w:widowControl/>
              <w:pBdr>
                <w:top w:val="nil"/>
                <w:left w:val="nil"/>
                <w:bottom w:val="nil"/>
                <w:right w:val="nil"/>
                <w:between w:val="nil"/>
              </w:pBdr>
              <w:tabs>
                <w:tab w:val="left" w:pos="1406"/>
              </w:tabs>
              <w:ind w:left="34" w:right="140"/>
              <w:jc w:val="center"/>
              <w:rPr>
                <w:color w:val="000000"/>
                <w:sz w:val="28"/>
                <w:szCs w:val="28"/>
              </w:rPr>
            </w:pPr>
            <w:r>
              <w:rPr>
                <w:color w:val="000000"/>
                <w:sz w:val="28"/>
                <w:szCs w:val="28"/>
              </w:rPr>
              <w:t>Обґрунтування відповідного місця альтернативи у рейтингу</w:t>
            </w:r>
          </w:p>
        </w:tc>
      </w:tr>
      <w:tr w:rsidR="0039003F" w14:paraId="2FD22881" w14:textId="77777777">
        <w:trPr>
          <w:trHeight w:val="856"/>
        </w:trPr>
        <w:tc>
          <w:tcPr>
            <w:tcW w:w="1920" w:type="dxa"/>
            <w:tcBorders>
              <w:top w:val="single" w:sz="4" w:space="0" w:color="000000"/>
              <w:left w:val="single" w:sz="4" w:space="0" w:color="000000"/>
              <w:bottom w:val="single" w:sz="4" w:space="0" w:color="000000"/>
            </w:tcBorders>
            <w:shd w:val="clear" w:color="auto" w:fill="auto"/>
          </w:tcPr>
          <w:p w14:paraId="4E343C18"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Альтернатива 1:</w:t>
            </w:r>
          </w:p>
          <w:p w14:paraId="44F253B0"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залишити регулювання без змін</w:t>
            </w:r>
          </w:p>
        </w:tc>
        <w:tc>
          <w:tcPr>
            <w:tcW w:w="2616" w:type="dxa"/>
            <w:tcBorders>
              <w:top w:val="single" w:sz="4" w:space="0" w:color="000000"/>
              <w:left w:val="single" w:sz="4" w:space="0" w:color="000000"/>
              <w:bottom w:val="single" w:sz="4" w:space="0" w:color="000000"/>
            </w:tcBorders>
            <w:shd w:val="clear" w:color="auto" w:fill="auto"/>
          </w:tcPr>
          <w:p w14:paraId="1F816127"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Відсутні</w:t>
            </w:r>
          </w:p>
        </w:tc>
        <w:tc>
          <w:tcPr>
            <w:tcW w:w="2784" w:type="dxa"/>
            <w:tcBorders>
              <w:top w:val="single" w:sz="4" w:space="0" w:color="000000"/>
              <w:left w:val="single" w:sz="4" w:space="0" w:color="000000"/>
              <w:bottom w:val="single" w:sz="4" w:space="0" w:color="000000"/>
            </w:tcBorders>
            <w:shd w:val="clear" w:color="auto" w:fill="auto"/>
          </w:tcPr>
          <w:p w14:paraId="4178E352" w14:textId="77777777" w:rsidR="0039003F" w:rsidRDefault="005566B0">
            <w:pPr>
              <w:jc w:val="center"/>
              <w:rPr>
                <w:b/>
                <w:sz w:val="28"/>
                <w:szCs w:val="28"/>
              </w:rPr>
            </w:pPr>
            <w:r>
              <w:rPr>
                <w:sz w:val="28"/>
                <w:szCs w:val="28"/>
              </w:rPr>
              <w:t>Подальші фінансові витрати операторів, провайдерів телекомунікацій на отримання доступу до інфраструктури для розміщення об'єктів телекомунікаційної інфраструктури.</w:t>
            </w: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55B58592" w14:textId="77777777" w:rsidR="0039003F" w:rsidRDefault="005566B0">
            <w:pPr>
              <w:ind w:left="34" w:right="140"/>
              <w:jc w:val="center"/>
              <w:rPr>
                <w:sz w:val="28"/>
                <w:szCs w:val="28"/>
              </w:rPr>
            </w:pPr>
            <w:r>
              <w:rPr>
                <w:sz w:val="28"/>
                <w:szCs w:val="28"/>
              </w:rPr>
              <w:t>Альтернатива 1 не є оптимальною, оскільки не дає змоги досягти цілей державного регулювання.</w:t>
            </w:r>
          </w:p>
        </w:tc>
      </w:tr>
      <w:tr w:rsidR="0039003F" w14:paraId="12B99E7E" w14:textId="77777777">
        <w:trPr>
          <w:trHeight w:val="856"/>
        </w:trPr>
        <w:tc>
          <w:tcPr>
            <w:tcW w:w="1920" w:type="dxa"/>
            <w:tcBorders>
              <w:top w:val="single" w:sz="4" w:space="0" w:color="000000"/>
              <w:left w:val="single" w:sz="4" w:space="0" w:color="000000"/>
              <w:bottom w:val="single" w:sz="4" w:space="0" w:color="000000"/>
            </w:tcBorders>
            <w:shd w:val="clear" w:color="auto" w:fill="auto"/>
          </w:tcPr>
          <w:p w14:paraId="2C689702"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Альтернатива 2:</w:t>
            </w:r>
          </w:p>
          <w:p w14:paraId="4375FFC4" w14:textId="77777777" w:rsidR="0039003F" w:rsidRDefault="005566B0">
            <w:pPr>
              <w:widowControl/>
              <w:pBdr>
                <w:top w:val="nil"/>
                <w:left w:val="nil"/>
                <w:bottom w:val="nil"/>
                <w:right w:val="nil"/>
                <w:between w:val="nil"/>
              </w:pBdr>
              <w:jc w:val="center"/>
              <w:rPr>
                <w:color w:val="000000"/>
                <w:sz w:val="28"/>
                <w:szCs w:val="28"/>
              </w:rPr>
            </w:pPr>
            <w:r>
              <w:rPr>
                <w:color w:val="000000"/>
                <w:sz w:val="28"/>
                <w:szCs w:val="28"/>
              </w:rPr>
              <w:t>прийняття Закону</w:t>
            </w:r>
          </w:p>
        </w:tc>
        <w:tc>
          <w:tcPr>
            <w:tcW w:w="2616" w:type="dxa"/>
            <w:tcBorders>
              <w:top w:val="single" w:sz="4" w:space="0" w:color="000000"/>
              <w:left w:val="single" w:sz="4" w:space="0" w:color="000000"/>
              <w:bottom w:val="single" w:sz="4" w:space="0" w:color="000000"/>
            </w:tcBorders>
            <w:shd w:val="clear" w:color="auto" w:fill="auto"/>
          </w:tcPr>
          <w:p w14:paraId="05A5AB9A" w14:textId="77777777" w:rsidR="00A72260" w:rsidRDefault="005566B0" w:rsidP="00A72260">
            <w:pPr>
              <w:widowControl/>
              <w:pBdr>
                <w:top w:val="nil"/>
                <w:left w:val="nil"/>
                <w:bottom w:val="nil"/>
                <w:right w:val="nil"/>
                <w:between w:val="nil"/>
              </w:pBdr>
              <w:ind w:right="-77" w:firstLine="105"/>
              <w:jc w:val="center"/>
              <w:rPr>
                <w:color w:val="000000"/>
                <w:sz w:val="28"/>
                <w:szCs w:val="28"/>
              </w:rPr>
            </w:pPr>
            <w:r>
              <w:rPr>
                <w:color w:val="000000"/>
                <w:sz w:val="28"/>
                <w:szCs w:val="28"/>
              </w:rPr>
              <w:t>Створюються правові підстави для отримання операторами, про</w:t>
            </w:r>
            <w:r>
              <w:rPr>
                <w:sz w:val="28"/>
                <w:szCs w:val="28"/>
              </w:rPr>
              <w:t>вайдерами телекомунікацій</w:t>
            </w:r>
            <w:r>
              <w:rPr>
                <w:color w:val="000000"/>
                <w:sz w:val="28"/>
                <w:szCs w:val="28"/>
              </w:rPr>
              <w:t xml:space="preserve"> </w:t>
            </w:r>
            <w:r>
              <w:rPr>
                <w:sz w:val="28"/>
                <w:szCs w:val="28"/>
              </w:rPr>
              <w:t xml:space="preserve">додаткових об’єктів інфраструктури </w:t>
            </w:r>
            <w:r>
              <w:rPr>
                <w:color w:val="000000"/>
                <w:sz w:val="28"/>
                <w:szCs w:val="28"/>
              </w:rPr>
              <w:t xml:space="preserve">для розміщення на них </w:t>
            </w:r>
          </w:p>
          <w:p w14:paraId="20E1EC74" w14:textId="1F28333C" w:rsidR="0039003F" w:rsidRDefault="005566B0" w:rsidP="00A72260">
            <w:pPr>
              <w:widowControl/>
              <w:pBdr>
                <w:top w:val="nil"/>
                <w:left w:val="nil"/>
                <w:bottom w:val="nil"/>
                <w:right w:val="nil"/>
                <w:between w:val="nil"/>
              </w:pBdr>
              <w:ind w:right="-77" w:firstLine="105"/>
              <w:jc w:val="center"/>
              <w:rPr>
                <w:color w:val="000000"/>
                <w:sz w:val="28"/>
                <w:szCs w:val="28"/>
              </w:rPr>
            </w:pPr>
            <w:r>
              <w:rPr>
                <w:sz w:val="28"/>
                <w:szCs w:val="28"/>
              </w:rPr>
              <w:t>телеком обладнання.</w:t>
            </w:r>
          </w:p>
        </w:tc>
        <w:tc>
          <w:tcPr>
            <w:tcW w:w="2784" w:type="dxa"/>
            <w:tcBorders>
              <w:top w:val="single" w:sz="4" w:space="0" w:color="000000"/>
              <w:left w:val="single" w:sz="4" w:space="0" w:color="000000"/>
              <w:bottom w:val="single" w:sz="4" w:space="0" w:color="000000"/>
            </w:tcBorders>
            <w:shd w:val="clear" w:color="auto" w:fill="auto"/>
          </w:tcPr>
          <w:p w14:paraId="1638E759" w14:textId="77777777" w:rsidR="0039003F" w:rsidRDefault="005566B0">
            <w:pPr>
              <w:ind w:left="34" w:right="140"/>
              <w:jc w:val="center"/>
              <w:rPr>
                <w:sz w:val="28"/>
                <w:szCs w:val="28"/>
              </w:rPr>
            </w:pPr>
            <w:r>
              <w:rPr>
                <w:sz w:val="28"/>
                <w:szCs w:val="28"/>
              </w:rPr>
              <w:t>Відсутні</w:t>
            </w:r>
          </w:p>
          <w:p w14:paraId="20100691" w14:textId="77777777" w:rsidR="0039003F" w:rsidRDefault="0039003F">
            <w:pPr>
              <w:ind w:left="-284" w:right="140"/>
              <w:jc w:val="both"/>
              <w:rPr>
                <w:sz w:val="28"/>
                <w:szCs w:val="2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tcPr>
          <w:p w14:paraId="21D8BC39" w14:textId="77777777" w:rsidR="0039003F" w:rsidRDefault="005566B0">
            <w:pPr>
              <w:ind w:left="34" w:right="140"/>
              <w:jc w:val="center"/>
              <w:rPr>
                <w:sz w:val="28"/>
                <w:szCs w:val="28"/>
              </w:rPr>
            </w:pPr>
            <w:r>
              <w:rPr>
                <w:sz w:val="28"/>
                <w:szCs w:val="28"/>
              </w:rPr>
              <w:t>Альтернатива 2 є оптимальною, оскільки дає змогу досягти цілей державного регулювання.</w:t>
            </w:r>
          </w:p>
        </w:tc>
      </w:tr>
    </w:tbl>
    <w:p w14:paraId="7601FBB2" w14:textId="77777777" w:rsidR="0039003F" w:rsidRDefault="0039003F">
      <w:pPr>
        <w:widowControl/>
        <w:pBdr>
          <w:top w:val="nil"/>
          <w:left w:val="nil"/>
          <w:bottom w:val="nil"/>
          <w:right w:val="nil"/>
          <w:between w:val="nil"/>
        </w:pBdr>
        <w:tabs>
          <w:tab w:val="left" w:pos="1406"/>
        </w:tabs>
        <w:ind w:left="-284" w:right="140" w:firstLine="709"/>
        <w:jc w:val="both"/>
        <w:rPr>
          <w:color w:val="000000"/>
          <w:sz w:val="24"/>
          <w:szCs w:val="24"/>
        </w:rPr>
      </w:pPr>
    </w:p>
    <w:tbl>
      <w:tblPr>
        <w:tblStyle w:val="afffc"/>
        <w:tblW w:w="9639" w:type="dxa"/>
        <w:tblInd w:w="-5" w:type="dxa"/>
        <w:tblLayout w:type="fixed"/>
        <w:tblLook w:val="0000" w:firstRow="0" w:lastRow="0" w:firstColumn="0" w:lastColumn="0" w:noHBand="0" w:noVBand="0"/>
      </w:tblPr>
      <w:tblGrid>
        <w:gridCol w:w="2236"/>
        <w:gridCol w:w="3840"/>
        <w:gridCol w:w="3563"/>
      </w:tblGrid>
      <w:tr w:rsidR="0039003F" w14:paraId="73CE3A29" w14:textId="77777777">
        <w:tc>
          <w:tcPr>
            <w:tcW w:w="2236" w:type="dxa"/>
            <w:tcBorders>
              <w:top w:val="single" w:sz="4" w:space="0" w:color="000000"/>
              <w:left w:val="single" w:sz="4" w:space="0" w:color="000000"/>
              <w:bottom w:val="single" w:sz="4" w:space="0" w:color="000000"/>
            </w:tcBorders>
            <w:shd w:val="clear" w:color="auto" w:fill="auto"/>
          </w:tcPr>
          <w:p w14:paraId="4521D725" w14:textId="77777777" w:rsidR="0039003F" w:rsidRDefault="005566B0">
            <w:pPr>
              <w:widowControl/>
              <w:pBdr>
                <w:top w:val="nil"/>
                <w:left w:val="nil"/>
                <w:bottom w:val="nil"/>
                <w:right w:val="nil"/>
                <w:between w:val="nil"/>
              </w:pBdr>
              <w:ind w:right="9"/>
              <w:jc w:val="center"/>
              <w:rPr>
                <w:color w:val="000000"/>
                <w:sz w:val="28"/>
                <w:szCs w:val="28"/>
              </w:rPr>
            </w:pPr>
            <w:r>
              <w:rPr>
                <w:color w:val="000000"/>
                <w:sz w:val="28"/>
                <w:szCs w:val="28"/>
              </w:rPr>
              <w:t>Рейтинг</w:t>
            </w:r>
          </w:p>
        </w:tc>
        <w:tc>
          <w:tcPr>
            <w:tcW w:w="3840" w:type="dxa"/>
            <w:tcBorders>
              <w:top w:val="single" w:sz="4" w:space="0" w:color="000000"/>
              <w:left w:val="single" w:sz="4" w:space="0" w:color="000000"/>
              <w:bottom w:val="single" w:sz="4" w:space="0" w:color="000000"/>
            </w:tcBorders>
            <w:shd w:val="clear" w:color="auto" w:fill="auto"/>
          </w:tcPr>
          <w:p w14:paraId="3E478D78" w14:textId="77777777" w:rsidR="0039003F" w:rsidRDefault="005566B0">
            <w:pPr>
              <w:widowControl/>
              <w:pBdr>
                <w:top w:val="nil"/>
                <w:left w:val="nil"/>
                <w:bottom w:val="nil"/>
                <w:right w:val="nil"/>
                <w:between w:val="nil"/>
              </w:pBdr>
              <w:ind w:right="9"/>
              <w:jc w:val="center"/>
              <w:rPr>
                <w:color w:val="000000"/>
                <w:sz w:val="28"/>
                <w:szCs w:val="28"/>
              </w:rPr>
            </w:pPr>
            <w:r>
              <w:rPr>
                <w:color w:val="000000"/>
                <w:sz w:val="28"/>
                <w:szCs w:val="28"/>
              </w:rPr>
              <w:t xml:space="preserve">Аргументи щодо переваги обраної </w:t>
            </w:r>
            <w:r>
              <w:rPr>
                <w:color w:val="000000"/>
                <w:sz w:val="28"/>
                <w:szCs w:val="28"/>
              </w:rPr>
              <w:lastRenderedPageBreak/>
              <w:t>альтернативи/причини відмови від альтернативи</w:t>
            </w:r>
          </w:p>
        </w:tc>
        <w:tc>
          <w:tcPr>
            <w:tcW w:w="3563" w:type="dxa"/>
            <w:tcBorders>
              <w:top w:val="single" w:sz="4" w:space="0" w:color="000000"/>
              <w:left w:val="single" w:sz="4" w:space="0" w:color="000000"/>
              <w:bottom w:val="single" w:sz="4" w:space="0" w:color="000000"/>
              <w:right w:val="single" w:sz="4" w:space="0" w:color="000000"/>
            </w:tcBorders>
            <w:shd w:val="clear" w:color="auto" w:fill="auto"/>
          </w:tcPr>
          <w:p w14:paraId="5A0B0511" w14:textId="77777777" w:rsidR="0039003F" w:rsidRDefault="005566B0">
            <w:pPr>
              <w:widowControl/>
              <w:pBdr>
                <w:top w:val="nil"/>
                <w:left w:val="nil"/>
                <w:bottom w:val="nil"/>
                <w:right w:val="nil"/>
                <w:between w:val="nil"/>
              </w:pBdr>
              <w:ind w:right="9"/>
              <w:jc w:val="center"/>
              <w:rPr>
                <w:color w:val="000000"/>
                <w:sz w:val="28"/>
                <w:szCs w:val="28"/>
              </w:rPr>
            </w:pPr>
            <w:r>
              <w:rPr>
                <w:color w:val="000000"/>
                <w:sz w:val="28"/>
                <w:szCs w:val="28"/>
              </w:rPr>
              <w:lastRenderedPageBreak/>
              <w:t xml:space="preserve">Оцінка ризику зовнішніх чинників на дію </w:t>
            </w:r>
            <w:r>
              <w:rPr>
                <w:color w:val="000000"/>
                <w:sz w:val="28"/>
                <w:szCs w:val="28"/>
              </w:rPr>
              <w:lastRenderedPageBreak/>
              <w:t>запропонованого регуляторного акта</w:t>
            </w:r>
          </w:p>
        </w:tc>
      </w:tr>
      <w:tr w:rsidR="0039003F" w14:paraId="4D2ACDC7" w14:textId="77777777">
        <w:tc>
          <w:tcPr>
            <w:tcW w:w="2236" w:type="dxa"/>
            <w:tcBorders>
              <w:top w:val="single" w:sz="4" w:space="0" w:color="000000"/>
              <w:left w:val="single" w:sz="4" w:space="0" w:color="000000"/>
              <w:bottom w:val="single" w:sz="4" w:space="0" w:color="000000"/>
            </w:tcBorders>
            <w:shd w:val="clear" w:color="auto" w:fill="auto"/>
          </w:tcPr>
          <w:p w14:paraId="499A20B1" w14:textId="77777777" w:rsidR="0039003F" w:rsidRDefault="005566B0">
            <w:pPr>
              <w:widowControl/>
              <w:pBdr>
                <w:top w:val="nil"/>
                <w:left w:val="nil"/>
                <w:bottom w:val="nil"/>
                <w:right w:val="nil"/>
                <w:between w:val="nil"/>
              </w:pBdr>
              <w:ind w:right="9"/>
              <w:jc w:val="center"/>
              <w:rPr>
                <w:color w:val="000000"/>
                <w:sz w:val="28"/>
                <w:szCs w:val="28"/>
              </w:rPr>
            </w:pPr>
            <w:r>
              <w:rPr>
                <w:color w:val="000000"/>
                <w:sz w:val="28"/>
                <w:szCs w:val="28"/>
              </w:rPr>
              <w:lastRenderedPageBreak/>
              <w:t>Альтернатива 1:</w:t>
            </w:r>
          </w:p>
          <w:p w14:paraId="38E5126C" w14:textId="77777777" w:rsidR="0039003F" w:rsidRDefault="005566B0">
            <w:pPr>
              <w:widowControl/>
              <w:pBdr>
                <w:top w:val="nil"/>
                <w:left w:val="nil"/>
                <w:bottom w:val="nil"/>
                <w:right w:val="nil"/>
                <w:between w:val="nil"/>
              </w:pBdr>
              <w:ind w:right="9"/>
              <w:jc w:val="center"/>
              <w:rPr>
                <w:color w:val="000000"/>
                <w:sz w:val="28"/>
                <w:szCs w:val="28"/>
              </w:rPr>
            </w:pPr>
            <w:r>
              <w:rPr>
                <w:color w:val="000000"/>
                <w:sz w:val="28"/>
                <w:szCs w:val="28"/>
              </w:rPr>
              <w:t>залишити регулювання без змін</w:t>
            </w:r>
          </w:p>
        </w:tc>
        <w:tc>
          <w:tcPr>
            <w:tcW w:w="3840" w:type="dxa"/>
            <w:tcBorders>
              <w:top w:val="single" w:sz="4" w:space="0" w:color="000000"/>
              <w:left w:val="single" w:sz="4" w:space="0" w:color="000000"/>
              <w:bottom w:val="single" w:sz="4" w:space="0" w:color="000000"/>
            </w:tcBorders>
            <w:shd w:val="clear" w:color="auto" w:fill="auto"/>
          </w:tcPr>
          <w:p w14:paraId="47009732" w14:textId="77777777" w:rsidR="0039003F" w:rsidRDefault="005566B0">
            <w:pPr>
              <w:widowControl/>
              <w:pBdr>
                <w:top w:val="nil"/>
                <w:left w:val="nil"/>
                <w:bottom w:val="nil"/>
                <w:right w:val="nil"/>
                <w:between w:val="nil"/>
              </w:pBdr>
              <w:ind w:right="9"/>
              <w:jc w:val="center"/>
              <w:rPr>
                <w:color w:val="000000"/>
                <w:sz w:val="28"/>
                <w:szCs w:val="28"/>
              </w:rPr>
            </w:pPr>
            <w:r>
              <w:rPr>
                <w:color w:val="000000"/>
                <w:sz w:val="28"/>
                <w:szCs w:val="28"/>
              </w:rPr>
              <w:t xml:space="preserve">Неприйнятна, оскільки оператори, провайдери телекомунікацій </w:t>
            </w:r>
            <w:r>
              <w:rPr>
                <w:sz w:val="28"/>
                <w:szCs w:val="28"/>
              </w:rPr>
              <w:t>не зможуть отримувати доступ до об’єктів інфраструктури нежитлового будівництва.</w:t>
            </w:r>
          </w:p>
        </w:tc>
        <w:tc>
          <w:tcPr>
            <w:tcW w:w="3563" w:type="dxa"/>
            <w:tcBorders>
              <w:top w:val="single" w:sz="4" w:space="0" w:color="000000"/>
              <w:left w:val="single" w:sz="4" w:space="0" w:color="000000"/>
              <w:bottom w:val="single" w:sz="4" w:space="0" w:color="000000"/>
              <w:right w:val="single" w:sz="4" w:space="0" w:color="000000"/>
            </w:tcBorders>
            <w:shd w:val="clear" w:color="auto" w:fill="auto"/>
          </w:tcPr>
          <w:p w14:paraId="7CB52A75" w14:textId="77777777" w:rsidR="0039003F" w:rsidRDefault="005566B0">
            <w:pPr>
              <w:widowControl/>
              <w:pBdr>
                <w:top w:val="nil"/>
                <w:left w:val="nil"/>
                <w:bottom w:val="nil"/>
                <w:right w:val="nil"/>
                <w:between w:val="nil"/>
              </w:pBdr>
              <w:ind w:right="9"/>
              <w:jc w:val="center"/>
              <w:rPr>
                <w:color w:val="000000"/>
                <w:sz w:val="28"/>
                <w:szCs w:val="28"/>
              </w:rPr>
            </w:pPr>
            <w:r>
              <w:rPr>
                <w:color w:val="000000"/>
                <w:sz w:val="28"/>
                <w:szCs w:val="28"/>
              </w:rPr>
              <w:t xml:space="preserve">Очікується реальний вплив зовнішніх факторів та зайві </w:t>
            </w:r>
            <w:r>
              <w:rPr>
                <w:sz w:val="28"/>
                <w:szCs w:val="28"/>
              </w:rPr>
              <w:t>фінансови</w:t>
            </w:r>
            <w:r>
              <w:rPr>
                <w:color w:val="000000"/>
                <w:sz w:val="28"/>
                <w:szCs w:val="28"/>
              </w:rPr>
              <w:t xml:space="preserve"> витрати суб’єктів господарювання на розміщення </w:t>
            </w:r>
            <w:r>
              <w:rPr>
                <w:sz w:val="28"/>
                <w:szCs w:val="28"/>
              </w:rPr>
              <w:t>об'єктів телекомунікаційної інфраструктури.</w:t>
            </w:r>
          </w:p>
        </w:tc>
      </w:tr>
      <w:tr w:rsidR="0039003F" w14:paraId="6BCCF562" w14:textId="77777777">
        <w:tc>
          <w:tcPr>
            <w:tcW w:w="2236" w:type="dxa"/>
            <w:tcBorders>
              <w:top w:val="single" w:sz="4" w:space="0" w:color="000000"/>
              <w:left w:val="single" w:sz="4" w:space="0" w:color="000000"/>
              <w:bottom w:val="single" w:sz="4" w:space="0" w:color="000000"/>
            </w:tcBorders>
            <w:shd w:val="clear" w:color="auto" w:fill="auto"/>
          </w:tcPr>
          <w:p w14:paraId="7E252E1F" w14:textId="77777777" w:rsidR="0039003F" w:rsidRDefault="005566B0">
            <w:pPr>
              <w:widowControl/>
              <w:pBdr>
                <w:top w:val="nil"/>
                <w:left w:val="nil"/>
                <w:bottom w:val="nil"/>
                <w:right w:val="nil"/>
                <w:between w:val="nil"/>
              </w:pBdr>
              <w:ind w:right="9"/>
              <w:jc w:val="center"/>
              <w:rPr>
                <w:color w:val="000000"/>
                <w:sz w:val="28"/>
                <w:szCs w:val="28"/>
              </w:rPr>
            </w:pPr>
            <w:r>
              <w:rPr>
                <w:color w:val="000000"/>
                <w:sz w:val="28"/>
                <w:szCs w:val="28"/>
              </w:rPr>
              <w:t>Альтернатива 2:</w:t>
            </w:r>
          </w:p>
          <w:p w14:paraId="73674B80" w14:textId="77777777" w:rsidR="0039003F" w:rsidRDefault="005566B0">
            <w:pPr>
              <w:widowControl/>
              <w:pBdr>
                <w:top w:val="nil"/>
                <w:left w:val="nil"/>
                <w:bottom w:val="nil"/>
                <w:right w:val="nil"/>
                <w:between w:val="nil"/>
              </w:pBdr>
              <w:ind w:right="9"/>
              <w:jc w:val="center"/>
              <w:rPr>
                <w:color w:val="000000"/>
                <w:sz w:val="28"/>
                <w:szCs w:val="28"/>
              </w:rPr>
            </w:pPr>
            <w:r>
              <w:rPr>
                <w:color w:val="000000"/>
                <w:sz w:val="28"/>
                <w:szCs w:val="28"/>
              </w:rPr>
              <w:t>прийняття Закону</w:t>
            </w:r>
          </w:p>
        </w:tc>
        <w:tc>
          <w:tcPr>
            <w:tcW w:w="3840" w:type="dxa"/>
            <w:tcBorders>
              <w:top w:val="single" w:sz="4" w:space="0" w:color="000000"/>
              <w:left w:val="single" w:sz="4" w:space="0" w:color="000000"/>
              <w:bottom w:val="single" w:sz="4" w:space="0" w:color="000000"/>
            </w:tcBorders>
            <w:shd w:val="clear" w:color="auto" w:fill="auto"/>
          </w:tcPr>
          <w:p w14:paraId="5CC87199" w14:textId="77777777" w:rsidR="0039003F" w:rsidRDefault="005566B0">
            <w:pPr>
              <w:widowControl/>
              <w:pBdr>
                <w:top w:val="nil"/>
                <w:left w:val="nil"/>
                <w:bottom w:val="nil"/>
                <w:right w:val="nil"/>
                <w:between w:val="nil"/>
              </w:pBdr>
              <w:ind w:right="9"/>
              <w:jc w:val="center"/>
              <w:rPr>
                <w:color w:val="000000"/>
                <w:sz w:val="28"/>
                <w:szCs w:val="28"/>
              </w:rPr>
            </w:pPr>
            <w:r>
              <w:rPr>
                <w:color w:val="000000"/>
                <w:sz w:val="28"/>
                <w:szCs w:val="28"/>
              </w:rPr>
              <w:t>Забезпечить повною мірою досягнення поставлен</w:t>
            </w:r>
            <w:r>
              <w:rPr>
                <w:sz w:val="28"/>
                <w:szCs w:val="28"/>
              </w:rPr>
              <w:t>ої</w:t>
            </w:r>
            <w:r>
              <w:rPr>
                <w:color w:val="000000"/>
                <w:sz w:val="28"/>
                <w:szCs w:val="28"/>
              </w:rPr>
              <w:t xml:space="preserve"> цілі.</w:t>
            </w:r>
          </w:p>
        </w:tc>
        <w:tc>
          <w:tcPr>
            <w:tcW w:w="3563" w:type="dxa"/>
            <w:tcBorders>
              <w:top w:val="single" w:sz="4" w:space="0" w:color="000000"/>
              <w:left w:val="single" w:sz="4" w:space="0" w:color="000000"/>
              <w:bottom w:val="single" w:sz="4" w:space="0" w:color="000000"/>
              <w:right w:val="single" w:sz="4" w:space="0" w:color="000000"/>
            </w:tcBorders>
            <w:shd w:val="clear" w:color="auto" w:fill="auto"/>
          </w:tcPr>
          <w:p w14:paraId="10BADD6A" w14:textId="77777777" w:rsidR="0039003F" w:rsidRDefault="005566B0">
            <w:pPr>
              <w:widowControl/>
              <w:pBdr>
                <w:top w:val="nil"/>
                <w:left w:val="nil"/>
                <w:bottom w:val="nil"/>
                <w:right w:val="nil"/>
                <w:between w:val="nil"/>
              </w:pBdr>
              <w:ind w:right="9"/>
              <w:jc w:val="center"/>
              <w:rPr>
                <w:color w:val="000000"/>
                <w:sz w:val="28"/>
                <w:szCs w:val="28"/>
              </w:rPr>
            </w:pPr>
            <w:r>
              <w:rPr>
                <w:color w:val="000000"/>
                <w:sz w:val="28"/>
                <w:szCs w:val="28"/>
              </w:rPr>
              <w:t>Цей спосіб повною мірою відповідає вимогам законодавства України.</w:t>
            </w:r>
          </w:p>
        </w:tc>
      </w:tr>
    </w:tbl>
    <w:p w14:paraId="30EEB48D" w14:textId="77777777" w:rsidR="0039003F" w:rsidRDefault="0039003F">
      <w:pPr>
        <w:widowControl/>
        <w:pBdr>
          <w:top w:val="nil"/>
          <w:left w:val="nil"/>
          <w:bottom w:val="nil"/>
          <w:right w:val="nil"/>
          <w:between w:val="nil"/>
        </w:pBdr>
        <w:tabs>
          <w:tab w:val="left" w:pos="1406"/>
        </w:tabs>
        <w:ind w:left="-284" w:right="140" w:firstLine="709"/>
        <w:jc w:val="both"/>
        <w:rPr>
          <w:b/>
          <w:color w:val="000000"/>
          <w:sz w:val="28"/>
          <w:szCs w:val="28"/>
        </w:rPr>
      </w:pPr>
    </w:p>
    <w:p w14:paraId="50915A1E" w14:textId="77777777" w:rsidR="0039003F" w:rsidRDefault="005566B0">
      <w:pPr>
        <w:widowControl/>
        <w:pBdr>
          <w:top w:val="nil"/>
          <w:left w:val="nil"/>
          <w:bottom w:val="nil"/>
          <w:right w:val="nil"/>
          <w:between w:val="nil"/>
        </w:pBdr>
        <w:tabs>
          <w:tab w:val="left" w:pos="1406"/>
        </w:tabs>
        <w:ind w:firstLine="709"/>
        <w:jc w:val="both"/>
        <w:rPr>
          <w:color w:val="000000"/>
          <w:sz w:val="24"/>
          <w:szCs w:val="24"/>
        </w:rPr>
      </w:pPr>
      <w:r>
        <w:rPr>
          <w:b/>
          <w:color w:val="000000"/>
          <w:sz w:val="28"/>
          <w:szCs w:val="28"/>
        </w:rPr>
        <w:t>V. Механізми та заходи, які забезпечать розв’язання визначеної проблеми</w:t>
      </w:r>
    </w:p>
    <w:p w14:paraId="733B0304" w14:textId="77777777" w:rsidR="0039003F" w:rsidRDefault="005566B0">
      <w:pPr>
        <w:shd w:val="clear" w:color="auto" w:fill="FFFFFF"/>
        <w:ind w:firstLine="709"/>
        <w:jc w:val="both"/>
        <w:rPr>
          <w:sz w:val="28"/>
          <w:szCs w:val="28"/>
          <w:highlight w:val="white"/>
        </w:rPr>
      </w:pPr>
      <w:r>
        <w:rPr>
          <w:sz w:val="28"/>
          <w:szCs w:val="28"/>
          <w:highlight w:val="white"/>
        </w:rPr>
        <w:t>Механізмом регулювання, за допомогою якого передбачається розв’язати проблему, є прийняття закону, яким буде надано право на отримання доступу до об’єктів нежитлового будівництва, а також зменшення розмірів граничної вартості плати за доступ.</w:t>
      </w:r>
    </w:p>
    <w:p w14:paraId="39EFB3A7" w14:textId="77777777" w:rsidR="0039003F" w:rsidRDefault="005566B0">
      <w:pPr>
        <w:shd w:val="clear" w:color="auto" w:fill="FFFFFF"/>
        <w:ind w:firstLine="709"/>
        <w:jc w:val="both"/>
        <w:rPr>
          <w:sz w:val="28"/>
          <w:szCs w:val="28"/>
        </w:rPr>
      </w:pPr>
      <w:r>
        <w:rPr>
          <w:sz w:val="28"/>
          <w:szCs w:val="28"/>
        </w:rPr>
        <w:t>Прийняття регуляторного акта надасть змогу забезпечити оперативне розгортання телекомунікаційної інфраструктури на території України з метою безперебійного забезпечення населення доступом до Інтернету.</w:t>
      </w:r>
    </w:p>
    <w:p w14:paraId="3BCBE99B" w14:textId="77777777" w:rsidR="0039003F" w:rsidRDefault="005566B0">
      <w:pPr>
        <w:shd w:val="clear" w:color="auto" w:fill="FFFFFF"/>
        <w:ind w:firstLine="709"/>
        <w:jc w:val="both"/>
        <w:rPr>
          <w:sz w:val="28"/>
          <w:szCs w:val="28"/>
        </w:rPr>
      </w:pPr>
      <w:r>
        <w:rPr>
          <w:sz w:val="28"/>
          <w:szCs w:val="28"/>
        </w:rPr>
        <w:t>Враховуючи викладене, ступінь ефективності основних принципів і способів досягнення цілей оцінюється як високий.</w:t>
      </w:r>
    </w:p>
    <w:p w14:paraId="18CDB448" w14:textId="77777777" w:rsidR="0039003F" w:rsidRDefault="0039003F">
      <w:pPr>
        <w:shd w:val="clear" w:color="auto" w:fill="FFFFFF"/>
        <w:jc w:val="both"/>
        <w:rPr>
          <w:sz w:val="28"/>
          <w:szCs w:val="28"/>
        </w:rPr>
      </w:pPr>
    </w:p>
    <w:p w14:paraId="2689E0E2" w14:textId="77777777" w:rsidR="0039003F" w:rsidRDefault="005566B0">
      <w:pPr>
        <w:shd w:val="clear" w:color="auto" w:fill="FFFFFF"/>
        <w:ind w:firstLine="709"/>
        <w:jc w:val="both"/>
        <w:rPr>
          <w:b/>
          <w:sz w:val="28"/>
          <w:szCs w:val="28"/>
        </w:rPr>
      </w:pPr>
      <w:r>
        <w:rPr>
          <w:b/>
          <w:color w:val="000000"/>
          <w:sz w:val="28"/>
          <w:szCs w:val="28"/>
        </w:rPr>
        <w:t>VІ.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w:t>
      </w:r>
    </w:p>
    <w:p w14:paraId="128516D2" w14:textId="77777777" w:rsidR="0039003F" w:rsidRDefault="005566B0">
      <w:pPr>
        <w:shd w:val="clear" w:color="auto" w:fill="FFFFFF"/>
        <w:ind w:firstLine="709"/>
        <w:jc w:val="both"/>
        <w:rPr>
          <w:sz w:val="28"/>
          <w:szCs w:val="28"/>
        </w:rPr>
      </w:pPr>
      <w:r>
        <w:rPr>
          <w:sz w:val="28"/>
          <w:szCs w:val="28"/>
        </w:rPr>
        <w:t>Реалізація Закону не передбачає фінансових витрат для органів виконавчої влади чи органів місцевого самоврядування.</w:t>
      </w:r>
    </w:p>
    <w:p w14:paraId="16C92C2A" w14:textId="77777777" w:rsidR="0039003F" w:rsidRDefault="0039003F">
      <w:pPr>
        <w:shd w:val="clear" w:color="auto" w:fill="FFFFFF"/>
        <w:ind w:firstLine="566"/>
        <w:jc w:val="both"/>
        <w:rPr>
          <w:sz w:val="28"/>
          <w:szCs w:val="28"/>
        </w:rPr>
      </w:pPr>
    </w:p>
    <w:p w14:paraId="3EB011BD" w14:textId="77777777" w:rsidR="0039003F" w:rsidRDefault="005566B0">
      <w:pPr>
        <w:shd w:val="clear" w:color="auto" w:fill="FFFFFF"/>
        <w:ind w:firstLine="709"/>
        <w:jc w:val="both"/>
        <w:rPr>
          <w:sz w:val="24"/>
          <w:szCs w:val="24"/>
        </w:rPr>
      </w:pPr>
      <w:r>
        <w:rPr>
          <w:b/>
          <w:color w:val="000000"/>
          <w:sz w:val="28"/>
          <w:szCs w:val="28"/>
        </w:rPr>
        <w:t>VІІ. Обґрунтування запропонованого строку дії регуляторного акта</w:t>
      </w:r>
    </w:p>
    <w:p w14:paraId="03A54845" w14:textId="77777777" w:rsidR="0039003F" w:rsidRDefault="005566B0">
      <w:pPr>
        <w:shd w:val="clear" w:color="auto" w:fill="FFFFFF"/>
        <w:ind w:firstLine="709"/>
        <w:jc w:val="both"/>
        <w:rPr>
          <w:sz w:val="28"/>
          <w:szCs w:val="28"/>
        </w:rPr>
      </w:pPr>
      <w:r>
        <w:rPr>
          <w:color w:val="000000"/>
          <w:sz w:val="28"/>
          <w:szCs w:val="28"/>
        </w:rPr>
        <w:t>Термін дії нормативно-правового акта не обмежений у часі, що дасть змогу повною мірою вирішити проблемні питання.</w:t>
      </w:r>
    </w:p>
    <w:p w14:paraId="76D232EA" w14:textId="77777777" w:rsidR="0039003F" w:rsidRDefault="005566B0">
      <w:pPr>
        <w:shd w:val="clear" w:color="auto" w:fill="FFFFFF"/>
        <w:ind w:firstLine="709"/>
        <w:jc w:val="both"/>
        <w:rPr>
          <w:sz w:val="28"/>
          <w:szCs w:val="28"/>
        </w:rPr>
      </w:pPr>
      <w:r>
        <w:rPr>
          <w:color w:val="000000"/>
          <w:sz w:val="28"/>
          <w:szCs w:val="28"/>
        </w:rPr>
        <w:t>Зміна терміну дії акта можлива у разі внесення змін до законодавства України</w:t>
      </w:r>
      <w:r>
        <w:rPr>
          <w:sz w:val="28"/>
          <w:szCs w:val="28"/>
        </w:rPr>
        <w:t>.</w:t>
      </w:r>
    </w:p>
    <w:p w14:paraId="78F82F85" w14:textId="77777777" w:rsidR="0039003F" w:rsidRDefault="005566B0">
      <w:pPr>
        <w:shd w:val="clear" w:color="auto" w:fill="FFFFFF"/>
        <w:ind w:firstLine="709"/>
        <w:jc w:val="both"/>
        <w:rPr>
          <w:color w:val="000000"/>
          <w:sz w:val="28"/>
          <w:szCs w:val="28"/>
        </w:rPr>
      </w:pPr>
      <w:r>
        <w:rPr>
          <w:color w:val="000000"/>
          <w:sz w:val="28"/>
          <w:szCs w:val="28"/>
        </w:rPr>
        <w:t xml:space="preserve">Термін набрання чинності Закону </w:t>
      </w:r>
      <w:r>
        <w:rPr>
          <w:sz w:val="28"/>
          <w:szCs w:val="28"/>
        </w:rPr>
        <w:t>-</w:t>
      </w:r>
      <w:r>
        <w:rPr>
          <w:color w:val="000000"/>
          <w:sz w:val="28"/>
          <w:szCs w:val="28"/>
        </w:rPr>
        <w:t xml:space="preserve"> </w:t>
      </w:r>
      <w:r>
        <w:rPr>
          <w:sz w:val="28"/>
          <w:szCs w:val="28"/>
        </w:rPr>
        <w:t>через 90 днів з дня його опублікування.</w:t>
      </w:r>
    </w:p>
    <w:p w14:paraId="6443EC89" w14:textId="77777777" w:rsidR="0039003F" w:rsidRDefault="0039003F">
      <w:pPr>
        <w:shd w:val="clear" w:color="auto" w:fill="FFFFFF"/>
        <w:ind w:firstLine="566"/>
        <w:jc w:val="both"/>
        <w:rPr>
          <w:sz w:val="28"/>
          <w:szCs w:val="28"/>
        </w:rPr>
      </w:pPr>
    </w:p>
    <w:p w14:paraId="1CD64147" w14:textId="77777777" w:rsidR="0039003F" w:rsidRDefault="005566B0">
      <w:pPr>
        <w:shd w:val="clear" w:color="auto" w:fill="FFFFFF"/>
        <w:ind w:firstLine="709"/>
        <w:jc w:val="both"/>
        <w:rPr>
          <w:sz w:val="24"/>
          <w:szCs w:val="24"/>
        </w:rPr>
      </w:pPr>
      <w:r>
        <w:rPr>
          <w:b/>
          <w:color w:val="000000"/>
          <w:sz w:val="28"/>
          <w:szCs w:val="28"/>
        </w:rPr>
        <w:t>VІІІ. Визначення показників результативності регуляторного акта</w:t>
      </w:r>
    </w:p>
    <w:p w14:paraId="6292FDC8" w14:textId="77777777" w:rsidR="0039003F" w:rsidRDefault="005566B0">
      <w:pPr>
        <w:shd w:val="clear" w:color="auto" w:fill="FFFFFF"/>
        <w:ind w:firstLine="709"/>
        <w:jc w:val="both"/>
        <w:rPr>
          <w:color w:val="000000"/>
          <w:sz w:val="28"/>
          <w:szCs w:val="28"/>
        </w:rPr>
      </w:pPr>
      <w:r>
        <w:rPr>
          <w:color w:val="000000"/>
          <w:sz w:val="28"/>
          <w:szCs w:val="28"/>
        </w:rPr>
        <w:t>Основними показниками результативності регуляторного акта є:</w:t>
      </w:r>
    </w:p>
    <w:p w14:paraId="3C1EDC50" w14:textId="77777777" w:rsidR="0039003F" w:rsidRDefault="005566B0">
      <w:pPr>
        <w:shd w:val="clear" w:color="auto" w:fill="FFFFFF"/>
        <w:ind w:firstLine="709"/>
        <w:jc w:val="both"/>
        <w:rPr>
          <w:color w:val="000000"/>
          <w:sz w:val="28"/>
          <w:szCs w:val="28"/>
        </w:rPr>
      </w:pPr>
      <w:r>
        <w:rPr>
          <w:color w:val="000000"/>
          <w:sz w:val="28"/>
          <w:szCs w:val="28"/>
        </w:rPr>
        <w:t>зростання кільк</w:t>
      </w:r>
      <w:r>
        <w:rPr>
          <w:sz w:val="28"/>
          <w:szCs w:val="28"/>
        </w:rPr>
        <w:t>о</w:t>
      </w:r>
      <w:r>
        <w:rPr>
          <w:color w:val="000000"/>
          <w:sz w:val="28"/>
          <w:szCs w:val="28"/>
        </w:rPr>
        <w:t>ст</w:t>
      </w:r>
      <w:r>
        <w:rPr>
          <w:sz w:val="28"/>
          <w:szCs w:val="28"/>
        </w:rPr>
        <w:t>і</w:t>
      </w:r>
      <w:r>
        <w:rPr>
          <w:color w:val="000000"/>
          <w:sz w:val="28"/>
          <w:szCs w:val="28"/>
        </w:rPr>
        <w:t xml:space="preserve"> укладених договорів з доступу щодо нежитлових будівель, </w:t>
      </w:r>
    </w:p>
    <w:p w14:paraId="06F6D02B" w14:textId="77777777" w:rsidR="0039003F" w:rsidRDefault="005566B0">
      <w:pPr>
        <w:shd w:val="clear" w:color="auto" w:fill="FFFFFF"/>
        <w:ind w:firstLine="709"/>
        <w:jc w:val="both"/>
        <w:rPr>
          <w:sz w:val="28"/>
          <w:szCs w:val="28"/>
        </w:rPr>
      </w:pPr>
      <w:r>
        <w:rPr>
          <w:color w:val="000000"/>
          <w:sz w:val="28"/>
          <w:szCs w:val="28"/>
        </w:rPr>
        <w:t>зростання кільк</w:t>
      </w:r>
      <w:r>
        <w:rPr>
          <w:sz w:val="28"/>
          <w:szCs w:val="28"/>
        </w:rPr>
        <w:t>о</w:t>
      </w:r>
      <w:r>
        <w:rPr>
          <w:color w:val="000000"/>
          <w:sz w:val="28"/>
          <w:szCs w:val="28"/>
        </w:rPr>
        <w:t>ст</w:t>
      </w:r>
      <w:r>
        <w:rPr>
          <w:sz w:val="28"/>
          <w:szCs w:val="28"/>
        </w:rPr>
        <w:t>і</w:t>
      </w:r>
      <w:r>
        <w:rPr>
          <w:color w:val="000000"/>
          <w:sz w:val="28"/>
          <w:szCs w:val="28"/>
        </w:rPr>
        <w:t xml:space="preserve"> договорів з доступу до об</w:t>
      </w:r>
      <w:r>
        <w:rPr>
          <w:sz w:val="28"/>
          <w:szCs w:val="28"/>
        </w:rPr>
        <w:t xml:space="preserve">’єктів електроенергетики в </w:t>
      </w:r>
      <w:r>
        <w:rPr>
          <w:sz w:val="28"/>
          <w:szCs w:val="28"/>
        </w:rPr>
        <w:lastRenderedPageBreak/>
        <w:t xml:space="preserve">сільській місцевості. </w:t>
      </w:r>
    </w:p>
    <w:p w14:paraId="459CB2B3" w14:textId="77777777" w:rsidR="0039003F" w:rsidRDefault="005566B0">
      <w:pPr>
        <w:shd w:val="clear" w:color="auto" w:fill="FFFFFF"/>
        <w:ind w:firstLine="709"/>
        <w:jc w:val="both"/>
        <w:rPr>
          <w:sz w:val="28"/>
          <w:szCs w:val="28"/>
        </w:rPr>
      </w:pPr>
      <w:r>
        <w:rPr>
          <w:sz w:val="28"/>
          <w:szCs w:val="28"/>
        </w:rPr>
        <w:t>з</w:t>
      </w:r>
      <w:r>
        <w:rPr>
          <w:color w:val="000000"/>
          <w:sz w:val="28"/>
          <w:szCs w:val="28"/>
        </w:rPr>
        <w:t>меншенн</w:t>
      </w:r>
      <w:r>
        <w:rPr>
          <w:sz w:val="28"/>
          <w:szCs w:val="28"/>
        </w:rPr>
        <w:t>я</w:t>
      </w:r>
      <w:r>
        <w:rPr>
          <w:color w:val="000000"/>
          <w:sz w:val="28"/>
          <w:szCs w:val="28"/>
        </w:rPr>
        <w:t xml:space="preserve"> </w:t>
      </w:r>
      <w:r>
        <w:rPr>
          <w:sz w:val="28"/>
          <w:szCs w:val="28"/>
        </w:rPr>
        <w:t xml:space="preserve">виготовлених технічних умов з доступу до об’єктів електроенергетики. </w:t>
      </w:r>
    </w:p>
    <w:p w14:paraId="278055E5" w14:textId="414E7E46" w:rsidR="0039003F" w:rsidRPr="00471258" w:rsidRDefault="005566B0">
      <w:pPr>
        <w:shd w:val="clear" w:color="auto" w:fill="FFFFFF"/>
        <w:ind w:firstLine="709"/>
        <w:jc w:val="both"/>
        <w:rPr>
          <w:sz w:val="28"/>
          <w:szCs w:val="28"/>
        </w:rPr>
      </w:pPr>
      <w:r w:rsidRPr="00471258">
        <w:rPr>
          <w:sz w:val="28"/>
          <w:szCs w:val="28"/>
        </w:rPr>
        <w:t xml:space="preserve">Вищезазначене </w:t>
      </w:r>
      <w:r w:rsidR="00471258" w:rsidRPr="00471258">
        <w:rPr>
          <w:sz w:val="28"/>
          <w:szCs w:val="28"/>
        </w:rPr>
        <w:t xml:space="preserve">забезпечить безумовне виконання </w:t>
      </w:r>
      <w:r w:rsidR="00471258" w:rsidRPr="00471258">
        <w:rPr>
          <w:sz w:val="28"/>
          <w:szCs w:val="28"/>
          <w:highlight w:val="white"/>
        </w:rPr>
        <w:t xml:space="preserve">цілей </w:t>
      </w:r>
      <w:r w:rsidR="00471258" w:rsidRPr="00471258">
        <w:rPr>
          <w:sz w:val="28"/>
          <w:szCs w:val="28"/>
        </w:rPr>
        <w:t xml:space="preserve">підпункту 2.2 пункту 2 розділу «Довгострокові пріоритети діяльності Уряду» Програми </w:t>
      </w:r>
      <w:r w:rsidRPr="00471258">
        <w:rPr>
          <w:sz w:val="28"/>
          <w:szCs w:val="28"/>
          <w:highlight w:val="white"/>
        </w:rPr>
        <w:t xml:space="preserve">діяльності Кабінету Міністрів України, затвердженої постановою Кабінету Міністрів України від </w:t>
      </w:r>
      <w:r w:rsidRPr="00471258">
        <w:rPr>
          <w:sz w:val="28"/>
          <w:szCs w:val="28"/>
        </w:rPr>
        <w:t>12.06.2020 № 471, щодо розвитку мережі доступу до фіксованого Інтернету.</w:t>
      </w:r>
    </w:p>
    <w:p w14:paraId="016BF601" w14:textId="54F40DA9" w:rsidR="0039003F" w:rsidRDefault="005566B0">
      <w:pPr>
        <w:shd w:val="clear" w:color="auto" w:fill="FFFFFF"/>
        <w:ind w:firstLine="709"/>
        <w:jc w:val="both"/>
        <w:rPr>
          <w:sz w:val="28"/>
          <w:szCs w:val="28"/>
          <w:highlight w:val="white"/>
        </w:rPr>
      </w:pPr>
      <w:r>
        <w:rPr>
          <w:color w:val="000000"/>
          <w:sz w:val="28"/>
          <w:szCs w:val="28"/>
        </w:rPr>
        <w:t>Кількість суб'єктів господарювання та/або фізичних ос</w:t>
      </w:r>
      <w:r>
        <w:rPr>
          <w:color w:val="000000"/>
          <w:sz w:val="28"/>
          <w:szCs w:val="28"/>
          <w:highlight w:val="white"/>
        </w:rPr>
        <w:t xml:space="preserve">іб, на яких поширюватиметься дія акта – </w:t>
      </w:r>
      <w:r>
        <w:rPr>
          <w:sz w:val="28"/>
          <w:szCs w:val="28"/>
          <w:highlight w:val="white"/>
        </w:rPr>
        <w:t>4</w:t>
      </w:r>
      <w:r w:rsidR="00696DE6">
        <w:rPr>
          <w:sz w:val="28"/>
          <w:szCs w:val="28"/>
          <w:highlight w:val="white"/>
        </w:rPr>
        <w:t>837</w:t>
      </w:r>
      <w:r>
        <w:rPr>
          <w:sz w:val="28"/>
          <w:szCs w:val="28"/>
          <w:highlight w:val="white"/>
        </w:rPr>
        <w:t xml:space="preserve"> операторів, провайдерів телекомунікацій</w:t>
      </w:r>
      <w:r>
        <w:rPr>
          <w:color w:val="000000"/>
          <w:sz w:val="28"/>
          <w:szCs w:val="28"/>
          <w:highlight w:val="white"/>
        </w:rPr>
        <w:t xml:space="preserve"> на українському ринку.</w:t>
      </w:r>
    </w:p>
    <w:p w14:paraId="25C9469A" w14:textId="77777777" w:rsidR="0039003F" w:rsidRDefault="005566B0">
      <w:pPr>
        <w:shd w:val="clear" w:color="auto" w:fill="FFFFFF"/>
        <w:ind w:firstLine="709"/>
        <w:jc w:val="both"/>
        <w:rPr>
          <w:sz w:val="28"/>
          <w:szCs w:val="28"/>
        </w:rPr>
      </w:pPr>
      <w:r>
        <w:rPr>
          <w:color w:val="000000"/>
          <w:sz w:val="28"/>
          <w:szCs w:val="28"/>
        </w:rPr>
        <w:t>Розмір коштів і час, що</w:t>
      </w:r>
      <w:r>
        <w:rPr>
          <w:b/>
          <w:color w:val="000000"/>
          <w:sz w:val="28"/>
          <w:szCs w:val="28"/>
        </w:rPr>
        <w:t xml:space="preserve"> </w:t>
      </w:r>
      <w:r>
        <w:rPr>
          <w:color w:val="000000"/>
          <w:sz w:val="28"/>
          <w:szCs w:val="28"/>
        </w:rPr>
        <w:t xml:space="preserve">витрачатимуться у зв’язку з виконанням вимог регуляторного акта: прийняття проекту </w:t>
      </w:r>
      <w:r>
        <w:rPr>
          <w:sz w:val="28"/>
          <w:szCs w:val="28"/>
        </w:rPr>
        <w:t xml:space="preserve">Закону </w:t>
      </w:r>
      <w:r>
        <w:rPr>
          <w:color w:val="000000"/>
          <w:sz w:val="28"/>
          <w:szCs w:val="28"/>
        </w:rPr>
        <w:t>не потребує фінансових витрат.</w:t>
      </w:r>
    </w:p>
    <w:p w14:paraId="35A64B4D" w14:textId="77777777" w:rsidR="0039003F" w:rsidRDefault="005566B0">
      <w:pPr>
        <w:shd w:val="clear" w:color="auto" w:fill="FFFFFF"/>
        <w:ind w:firstLine="709"/>
        <w:jc w:val="both"/>
        <w:rPr>
          <w:sz w:val="28"/>
          <w:szCs w:val="28"/>
        </w:rPr>
      </w:pPr>
      <w:r>
        <w:rPr>
          <w:color w:val="000000"/>
          <w:sz w:val="28"/>
          <w:szCs w:val="28"/>
        </w:rPr>
        <w:t xml:space="preserve">Рівень поінформованості оцінюється як високий, оскільки оператори, провайдери телекомунікацій будуть </w:t>
      </w:r>
      <w:r>
        <w:rPr>
          <w:sz w:val="28"/>
          <w:szCs w:val="28"/>
        </w:rPr>
        <w:t>проінформовані</w:t>
      </w:r>
      <w:r>
        <w:rPr>
          <w:color w:val="000000"/>
          <w:sz w:val="28"/>
          <w:szCs w:val="28"/>
        </w:rPr>
        <w:t xml:space="preserve"> про основні положення регуляторного акта шляхом розміщення його на офіційному веб-сайті Міністерства цифрової трансформації України.</w:t>
      </w:r>
    </w:p>
    <w:p w14:paraId="47A3A7A5" w14:textId="77777777" w:rsidR="0039003F" w:rsidRDefault="0039003F">
      <w:pPr>
        <w:shd w:val="clear" w:color="auto" w:fill="FFFFFF"/>
        <w:ind w:firstLine="566"/>
        <w:jc w:val="both"/>
        <w:rPr>
          <w:sz w:val="28"/>
          <w:szCs w:val="28"/>
        </w:rPr>
      </w:pPr>
    </w:p>
    <w:p w14:paraId="6C633EDA" w14:textId="77777777" w:rsidR="0039003F" w:rsidRDefault="005566B0">
      <w:pPr>
        <w:shd w:val="clear" w:color="auto" w:fill="FFFFFF"/>
        <w:tabs>
          <w:tab w:val="left" w:pos="993"/>
          <w:tab w:val="left" w:pos="1276"/>
        </w:tabs>
        <w:ind w:firstLine="709"/>
        <w:jc w:val="both"/>
        <w:rPr>
          <w:sz w:val="24"/>
          <w:szCs w:val="24"/>
        </w:rPr>
      </w:pPr>
      <w:r>
        <w:rPr>
          <w:b/>
          <w:color w:val="000000"/>
          <w:sz w:val="28"/>
          <w:szCs w:val="28"/>
        </w:rPr>
        <w:t>ІХ.</w:t>
      </w:r>
      <w:r>
        <w:rPr>
          <w:b/>
          <w:color w:val="000000"/>
          <w:sz w:val="28"/>
          <w:szCs w:val="28"/>
        </w:rPr>
        <w:tab/>
        <w:t>Визначення заходів, за допомогою яких здійснюватиметься відстеження результативності дії регуляторного акта</w:t>
      </w:r>
    </w:p>
    <w:p w14:paraId="366F3033" w14:textId="77777777" w:rsidR="0039003F" w:rsidRDefault="005566B0">
      <w:pPr>
        <w:shd w:val="clear" w:color="auto" w:fill="FFFFFF"/>
        <w:ind w:firstLine="709"/>
        <w:jc w:val="both"/>
        <w:rPr>
          <w:sz w:val="28"/>
          <w:szCs w:val="28"/>
        </w:rPr>
      </w:pPr>
      <w:r>
        <w:rPr>
          <w:sz w:val="28"/>
          <w:szCs w:val="28"/>
        </w:rPr>
        <w:t>Відповідно до законодавства здійснюється базове, повторне та періодичне відстеження результативності регуляторного акта в строки, встановлені статтею 10 Закону України «Про засади державної регуляторної політики у сфері господарської діяльності».</w:t>
      </w:r>
    </w:p>
    <w:p w14:paraId="6298E9DE" w14:textId="77777777" w:rsidR="0039003F" w:rsidRDefault="005566B0">
      <w:pPr>
        <w:shd w:val="clear" w:color="auto" w:fill="FFFFFF"/>
        <w:ind w:firstLine="709"/>
        <w:jc w:val="both"/>
        <w:rPr>
          <w:sz w:val="28"/>
          <w:szCs w:val="28"/>
        </w:rPr>
      </w:pPr>
      <w:r>
        <w:rPr>
          <w:color w:val="000000"/>
          <w:sz w:val="28"/>
          <w:szCs w:val="28"/>
        </w:rPr>
        <w:t>Базове відстеження результативності Закону буде здійснюватися після набрання ним чинності</w:t>
      </w:r>
      <w:r>
        <w:rPr>
          <w:sz w:val="28"/>
          <w:szCs w:val="28"/>
        </w:rPr>
        <w:t>, оскільки планується використовувати статистичний метод відстеження та статистичні дані.</w:t>
      </w:r>
    </w:p>
    <w:p w14:paraId="1F50E595" w14:textId="77777777" w:rsidR="0039003F" w:rsidRDefault="005566B0">
      <w:pPr>
        <w:shd w:val="clear" w:color="auto" w:fill="FFFFFF"/>
        <w:ind w:firstLine="709"/>
        <w:jc w:val="both"/>
        <w:rPr>
          <w:sz w:val="28"/>
          <w:szCs w:val="28"/>
        </w:rPr>
      </w:pPr>
      <w:r>
        <w:rPr>
          <w:color w:val="000000"/>
          <w:sz w:val="28"/>
          <w:szCs w:val="28"/>
        </w:rPr>
        <w:t>Повторне відстеження планується здійснити через рік після набрання чинності регуляторним актом</w:t>
      </w:r>
      <w:r>
        <w:rPr>
          <w:sz w:val="28"/>
          <w:szCs w:val="28"/>
        </w:rPr>
        <w:t>.</w:t>
      </w:r>
    </w:p>
    <w:p w14:paraId="7D84493C" w14:textId="77777777" w:rsidR="0039003F" w:rsidRDefault="005566B0">
      <w:pPr>
        <w:shd w:val="clear" w:color="auto" w:fill="FFFFFF"/>
        <w:ind w:firstLine="709"/>
        <w:jc w:val="both"/>
        <w:rPr>
          <w:sz w:val="28"/>
          <w:szCs w:val="28"/>
        </w:rPr>
      </w:pPr>
      <w:r>
        <w:rPr>
          <w:color w:val="000000"/>
          <w:sz w:val="28"/>
          <w:szCs w:val="28"/>
        </w:rPr>
        <w:t>Періодичне відстеження здійснюватиметься раз на три роки, починаючи з дня виконання заходів з повторного відстеження результативності цього акта</w:t>
      </w:r>
      <w:r>
        <w:rPr>
          <w:sz w:val="28"/>
          <w:szCs w:val="28"/>
        </w:rPr>
        <w:t>.</w:t>
      </w:r>
    </w:p>
    <w:p w14:paraId="56FA8745" w14:textId="77777777" w:rsidR="0039003F" w:rsidRDefault="005566B0">
      <w:pPr>
        <w:shd w:val="clear" w:color="auto" w:fill="FFFFFF"/>
        <w:ind w:firstLine="709"/>
        <w:jc w:val="both"/>
        <w:rPr>
          <w:sz w:val="28"/>
          <w:szCs w:val="28"/>
        </w:rPr>
      </w:pPr>
      <w:r>
        <w:rPr>
          <w:sz w:val="28"/>
          <w:szCs w:val="28"/>
        </w:rPr>
        <w:t>Джерело даних: статистичні дані, отримані від операторів, провайдерів телекомунікацій.</w:t>
      </w:r>
    </w:p>
    <w:p w14:paraId="6424414C" w14:textId="77777777" w:rsidR="0039003F" w:rsidRDefault="005566B0">
      <w:pPr>
        <w:shd w:val="clear" w:color="auto" w:fill="FFFFFF"/>
        <w:ind w:firstLine="709"/>
        <w:jc w:val="both"/>
        <w:rPr>
          <w:sz w:val="28"/>
          <w:szCs w:val="28"/>
        </w:rPr>
      </w:pPr>
      <w:r>
        <w:rPr>
          <w:sz w:val="28"/>
          <w:szCs w:val="28"/>
        </w:rPr>
        <w:t>Виконавець заходів з відстеження результативності регуляторного акта –  Міністерство цифрової трансформації України.</w:t>
      </w:r>
    </w:p>
    <w:p w14:paraId="5DE9FBA4" w14:textId="77777777" w:rsidR="0039003F" w:rsidRDefault="0039003F">
      <w:pPr>
        <w:shd w:val="clear" w:color="auto" w:fill="FFFFFF"/>
        <w:ind w:firstLine="709"/>
        <w:jc w:val="both"/>
        <w:rPr>
          <w:sz w:val="24"/>
          <w:szCs w:val="24"/>
        </w:rPr>
      </w:pPr>
    </w:p>
    <w:p w14:paraId="7467A628" w14:textId="77777777" w:rsidR="0039003F" w:rsidRDefault="005566B0">
      <w:pPr>
        <w:shd w:val="clear" w:color="auto" w:fill="FFFFFF"/>
        <w:jc w:val="both"/>
        <w:rPr>
          <w:sz w:val="24"/>
          <w:szCs w:val="24"/>
        </w:rPr>
      </w:pPr>
      <w:bookmarkStart w:id="4" w:name="_heading=h.tyjcwt" w:colFirst="0" w:colLast="0"/>
      <w:bookmarkEnd w:id="4"/>
      <w:r>
        <w:rPr>
          <w:b/>
          <w:color w:val="000000"/>
          <w:sz w:val="28"/>
          <w:szCs w:val="28"/>
        </w:rPr>
        <w:t>Віце-прем'єр-міністр України – Міністр</w:t>
      </w:r>
    </w:p>
    <w:p w14:paraId="475E35BB" w14:textId="77777777" w:rsidR="0039003F" w:rsidRDefault="005566B0">
      <w:pPr>
        <w:shd w:val="clear" w:color="auto" w:fill="FFFFFF"/>
        <w:jc w:val="both"/>
        <w:rPr>
          <w:b/>
          <w:color w:val="000000"/>
          <w:sz w:val="28"/>
          <w:szCs w:val="28"/>
        </w:rPr>
      </w:pPr>
      <w:bookmarkStart w:id="5" w:name="_heading=h.3dy6vkm" w:colFirst="0" w:colLast="0"/>
      <w:bookmarkEnd w:id="5"/>
      <w:r>
        <w:rPr>
          <w:b/>
          <w:color w:val="000000"/>
          <w:sz w:val="28"/>
          <w:szCs w:val="28"/>
        </w:rPr>
        <w:t>цифрової трансформації України</w:t>
      </w:r>
      <w:r>
        <w:rPr>
          <w:b/>
          <w:color w:val="000000"/>
          <w:sz w:val="28"/>
          <w:szCs w:val="28"/>
        </w:rPr>
        <w:tab/>
      </w:r>
      <w:r>
        <w:rPr>
          <w:b/>
          <w:color w:val="000000"/>
          <w:sz w:val="28"/>
          <w:szCs w:val="28"/>
        </w:rPr>
        <w:tab/>
      </w:r>
      <w:r>
        <w:rPr>
          <w:b/>
          <w:color w:val="000000"/>
          <w:sz w:val="28"/>
          <w:szCs w:val="28"/>
        </w:rPr>
        <w:tab/>
      </w:r>
      <w:r>
        <w:rPr>
          <w:b/>
          <w:color w:val="000000"/>
          <w:sz w:val="28"/>
          <w:szCs w:val="28"/>
        </w:rPr>
        <w:tab/>
        <w:t>      Михайло ФЕДОРОВ</w:t>
      </w:r>
    </w:p>
    <w:p w14:paraId="044021AD" w14:textId="7E4A708E" w:rsidR="0039003F" w:rsidRDefault="005566B0">
      <w:pPr>
        <w:shd w:val="clear" w:color="auto" w:fill="FFFFFF"/>
        <w:jc w:val="both"/>
      </w:pPr>
      <w:r>
        <w:rPr>
          <w:sz w:val="28"/>
          <w:szCs w:val="28"/>
        </w:rPr>
        <w:t>«____» ____________ 202</w:t>
      </w:r>
      <w:r w:rsidR="00561824">
        <w:rPr>
          <w:sz w:val="28"/>
          <w:szCs w:val="28"/>
        </w:rPr>
        <w:t>2</w:t>
      </w:r>
      <w:r>
        <w:rPr>
          <w:sz w:val="28"/>
          <w:szCs w:val="28"/>
        </w:rPr>
        <w:t xml:space="preserve"> року</w:t>
      </w:r>
    </w:p>
    <w:sectPr w:rsidR="0039003F">
      <w:headerReference w:type="even" r:id="rId8"/>
      <w:headerReference w:type="default" r:id="rId9"/>
      <w:footerReference w:type="even" r:id="rId10"/>
      <w:footerReference w:type="default" r:id="rId11"/>
      <w:headerReference w:type="first" r:id="rId12"/>
      <w:footerReference w:type="first" r:id="rId13"/>
      <w:pgSz w:w="11906" w:h="16838"/>
      <w:pgMar w:top="1135" w:right="567" w:bottom="1418" w:left="1700" w:header="426" w:footer="30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39D2D" w14:textId="77777777" w:rsidR="002C3354" w:rsidRDefault="002C3354">
      <w:r>
        <w:separator/>
      </w:r>
    </w:p>
  </w:endnote>
  <w:endnote w:type="continuationSeparator" w:id="0">
    <w:p w14:paraId="69CF22C4" w14:textId="77777777" w:rsidR="002C3354" w:rsidRDefault="002C3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EA7F9" w14:textId="77777777" w:rsidR="0039003F" w:rsidRDefault="0039003F">
    <w:pPr>
      <w:pBdr>
        <w:top w:val="nil"/>
        <w:left w:val="nil"/>
        <w:bottom w:val="nil"/>
        <w:right w:val="nil"/>
        <w:between w:val="nil"/>
      </w:pBdr>
      <w:tabs>
        <w:tab w:val="center" w:pos="4677"/>
        <w:tab w:val="right" w:pos="9355"/>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4D132" w14:textId="77777777" w:rsidR="0039003F" w:rsidRDefault="0039003F">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3DA0D" w14:textId="77777777" w:rsidR="0039003F" w:rsidRDefault="0039003F"/>
  <w:p w14:paraId="5420F7BE" w14:textId="77777777" w:rsidR="0039003F" w:rsidRDefault="0039003F"/>
  <w:p w14:paraId="0FCD17C2" w14:textId="77777777" w:rsidR="0039003F" w:rsidRDefault="0039003F"/>
  <w:p w14:paraId="4A1517E3" w14:textId="77777777" w:rsidR="0039003F" w:rsidRDefault="0039003F"/>
  <w:p w14:paraId="264231F6" w14:textId="77777777" w:rsidR="0039003F" w:rsidRDefault="0039003F"/>
  <w:p w14:paraId="548383AE" w14:textId="77777777" w:rsidR="0039003F" w:rsidRDefault="0039003F"/>
  <w:p w14:paraId="545F97D5" w14:textId="77777777" w:rsidR="0039003F" w:rsidRDefault="0039003F"/>
  <w:p w14:paraId="72509640" w14:textId="77777777" w:rsidR="0039003F" w:rsidRDefault="0039003F"/>
  <w:p w14:paraId="18A10738" w14:textId="77777777" w:rsidR="0039003F" w:rsidRDefault="0039003F"/>
  <w:p w14:paraId="749EAD75" w14:textId="77777777" w:rsidR="0039003F" w:rsidRDefault="003900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E7772" w14:textId="77777777" w:rsidR="002C3354" w:rsidRDefault="002C3354">
      <w:r>
        <w:separator/>
      </w:r>
    </w:p>
  </w:footnote>
  <w:footnote w:type="continuationSeparator" w:id="0">
    <w:p w14:paraId="62AF2447" w14:textId="77777777" w:rsidR="002C3354" w:rsidRDefault="002C3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5E142" w14:textId="77777777" w:rsidR="0039003F" w:rsidRDefault="0039003F">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109B7" w14:textId="77777777" w:rsidR="0039003F" w:rsidRDefault="005566B0">
    <w:pPr>
      <w:pBdr>
        <w:top w:val="nil"/>
        <w:left w:val="nil"/>
        <w:bottom w:val="nil"/>
        <w:right w:val="nil"/>
        <w:between w:val="nil"/>
      </w:pBdr>
      <w:tabs>
        <w:tab w:val="center" w:pos="4819"/>
        <w:tab w:val="right" w:pos="9639"/>
      </w:tabs>
      <w:jc w:val="center"/>
      <w:rPr>
        <w:color w:val="000000"/>
        <w:sz w:val="28"/>
        <w:szCs w:val="28"/>
      </w:rPr>
    </w:pPr>
    <w:r>
      <w:rPr>
        <w:sz w:val="28"/>
        <w:szCs w:val="28"/>
      </w:rPr>
      <w:fldChar w:fldCharType="begin"/>
    </w:r>
    <w:r>
      <w:rPr>
        <w:sz w:val="28"/>
        <w:szCs w:val="28"/>
      </w:rPr>
      <w:instrText>PAGE</w:instrText>
    </w:r>
    <w:r>
      <w:rPr>
        <w:sz w:val="28"/>
        <w:szCs w:val="28"/>
      </w:rPr>
      <w:fldChar w:fldCharType="separate"/>
    </w:r>
    <w:r w:rsidR="00696DE6">
      <w:rPr>
        <w:noProof/>
        <w:sz w:val="28"/>
        <w:szCs w:val="28"/>
      </w:rPr>
      <w:t>2</w:t>
    </w:r>
    <w:r>
      <w:rPr>
        <w:sz w:val="28"/>
        <w:szCs w:val="28"/>
      </w:rPr>
      <w:fldChar w:fldCharType="end"/>
    </w:r>
    <w:r>
      <w:rPr>
        <w:noProof/>
      </w:rPr>
      <mc:AlternateContent>
        <mc:Choice Requires="wps">
          <w:drawing>
            <wp:anchor distT="0" distB="0" distL="0" distR="0" simplePos="0" relativeHeight="251658240" behindDoc="0" locked="0" layoutInCell="1" hidden="0" allowOverlap="1" wp14:anchorId="6BE4F67E" wp14:editId="49D1308A">
              <wp:simplePos x="0" y="0"/>
              <wp:positionH relativeFrom="column">
                <wp:posOffset>2946400</wp:posOffset>
              </wp:positionH>
              <wp:positionV relativeFrom="paragraph">
                <wp:posOffset>0</wp:posOffset>
              </wp:positionV>
              <wp:extent cx="129540" cy="212090"/>
              <wp:effectExtent l="0" t="0" r="0" b="0"/>
              <wp:wrapSquare wrapText="bothSides" distT="0" distB="0" distL="0" distR="0"/>
              <wp:docPr id="5" name="Прямоугольник 5"/>
              <wp:cNvGraphicFramePr/>
              <a:graphic xmlns:a="http://schemas.openxmlformats.org/drawingml/2006/main">
                <a:graphicData uri="http://schemas.microsoft.com/office/word/2010/wordprocessingShape">
                  <wps:wsp>
                    <wps:cNvSpPr/>
                    <wps:spPr>
                      <a:xfrm>
                        <a:off x="5314568" y="3707293"/>
                        <a:ext cx="62865" cy="145415"/>
                      </a:xfrm>
                      <a:prstGeom prst="rect">
                        <a:avLst/>
                      </a:prstGeom>
                      <a:solidFill>
                        <a:srgbClr val="FFFFFF">
                          <a:alpha val="0"/>
                        </a:srgbClr>
                      </a:solidFill>
                      <a:ln>
                        <a:noFill/>
                      </a:ln>
                    </wps:spPr>
                    <wps:txbx>
                      <w:txbxContent>
                        <w:p w14:paraId="79400634" w14:textId="77777777" w:rsidR="0039003F" w:rsidRDefault="0039003F">
                          <w:pPr>
                            <w:textDirection w:val="btLr"/>
                          </w:pPr>
                        </w:p>
                        <w:p w14:paraId="283B048F" w14:textId="77777777" w:rsidR="0039003F" w:rsidRDefault="0039003F">
                          <w:pPr>
                            <w:textDirection w:val="btLr"/>
                          </w:pPr>
                        </w:p>
                      </w:txbxContent>
                    </wps:txbx>
                    <wps:bodyPr spcFirstLastPara="1" wrap="square" lIns="0" tIns="0" rIns="0" bIns="0" anchor="t" anchorCtr="0">
                      <a:noAutofit/>
                    </wps:bodyPr>
                  </wps:wsp>
                </a:graphicData>
              </a:graphic>
            </wp:anchor>
          </w:drawing>
        </mc:Choice>
        <mc:Fallback>
          <w:pict>
            <v:rect w14:anchorId="6BE4F67E" id="Прямоугольник 5" o:spid="_x0000_s1026" style="position:absolute;left:0;text-align:left;margin-left:232pt;margin-top:0;width:10.2pt;height:16.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" stroked="f">
              <v:fill opacity="0"/>
              <v:textbox inset="0,0,0,0">
                <w:txbxContent>
                  <w:p w14:paraId="79400634" w14:textId="77777777" w:rsidR="0039003F" w:rsidRDefault="0039003F">
                    <w:pPr>
                      <w:textDirection w:val="btLr"/>
                    </w:pPr>
                  </w:p>
                  <w:p w14:paraId="283B048F" w14:textId="77777777" w:rsidR="0039003F" w:rsidRDefault="0039003F">
                    <w:pPr>
                      <w:textDirection w:val="btLr"/>
                    </w:pP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653D5" w14:textId="77777777" w:rsidR="0039003F" w:rsidRDefault="0039003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0350E"/>
    <w:multiLevelType w:val="multilevel"/>
    <w:tmpl w:val="21FAC8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CB740D5"/>
    <w:multiLevelType w:val="multilevel"/>
    <w:tmpl w:val="B4800474"/>
    <w:lvl w:ilvl="0">
      <w:start w:val="1"/>
      <w:numFmt w:val="decimal"/>
      <w:lvlText w:val="%1."/>
      <w:lvlJc w:val="left"/>
      <w:pPr>
        <w:ind w:left="1080" w:hanging="360"/>
      </w:pPr>
      <w:rPr>
        <w:b w:val="0"/>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A7E749F"/>
    <w:multiLevelType w:val="multilevel"/>
    <w:tmpl w:val="A51E1A2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03F"/>
    <w:rsid w:val="00036708"/>
    <w:rsid w:val="00140D68"/>
    <w:rsid w:val="00157A3E"/>
    <w:rsid w:val="001F405D"/>
    <w:rsid w:val="002C3354"/>
    <w:rsid w:val="002F5EFF"/>
    <w:rsid w:val="0031147F"/>
    <w:rsid w:val="0039003F"/>
    <w:rsid w:val="003D0FAE"/>
    <w:rsid w:val="00440537"/>
    <w:rsid w:val="00471258"/>
    <w:rsid w:val="00477F36"/>
    <w:rsid w:val="005226CD"/>
    <w:rsid w:val="005566B0"/>
    <w:rsid w:val="00561824"/>
    <w:rsid w:val="00696DE6"/>
    <w:rsid w:val="006D2ECB"/>
    <w:rsid w:val="006E3190"/>
    <w:rsid w:val="006E43C6"/>
    <w:rsid w:val="00726F66"/>
    <w:rsid w:val="00753877"/>
    <w:rsid w:val="007878F0"/>
    <w:rsid w:val="008850DF"/>
    <w:rsid w:val="008F3617"/>
    <w:rsid w:val="009B6319"/>
    <w:rsid w:val="00A04BE8"/>
    <w:rsid w:val="00A57AB9"/>
    <w:rsid w:val="00A72260"/>
    <w:rsid w:val="00AB5E33"/>
    <w:rsid w:val="00C95728"/>
    <w:rsid w:val="00D13BA2"/>
    <w:rsid w:val="00EB7A42"/>
    <w:rsid w:val="00EE1E2F"/>
    <w:rsid w:val="00F40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CA7E"/>
  <w15:docId w15:val="{FD62D362-10AF-478E-855D-D169D8D4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before="240" w:after="60"/>
      <w:outlineLvl w:val="1"/>
    </w:pPr>
    <w:rPr>
      <w:rFonts w:ascii="Cambria" w:eastAsia="Cambria" w:hAnsi="Cambria" w:cs="Cambria"/>
      <w:b/>
      <w:i/>
      <w:sz w:val="28"/>
      <w:szCs w:val="28"/>
    </w:rPr>
  </w:style>
  <w:style w:type="paragraph" w:styleId="3">
    <w:name w:val="heading 3"/>
    <w:basedOn w:val="a"/>
    <w:next w:val="a"/>
    <w:uiPriority w:val="9"/>
    <w:semiHidden/>
    <w:unhideWhenUsed/>
    <w:qFormat/>
    <w:pPr>
      <w:keepNext/>
      <w:widowControl/>
      <w:ind w:left="-108" w:right="-108"/>
      <w:jc w:val="center"/>
      <w:outlineLvl w:val="2"/>
    </w:pPr>
    <w:rPr>
      <w:b/>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paragraph" w:styleId="ae">
    <w:name w:val="Balloon Text"/>
    <w:basedOn w:val="a"/>
    <w:link w:val="af"/>
    <w:uiPriority w:val="99"/>
    <w:semiHidden/>
    <w:unhideWhenUsed/>
    <w:rsid w:val="00AF3DB6"/>
    <w:rPr>
      <w:rFonts w:ascii="Segoe UI" w:hAnsi="Segoe UI" w:cs="Segoe UI"/>
      <w:sz w:val="18"/>
      <w:szCs w:val="18"/>
    </w:rPr>
  </w:style>
  <w:style w:type="character" w:customStyle="1" w:styleId="af">
    <w:name w:val="Текст выноски Знак"/>
    <w:basedOn w:val="a0"/>
    <w:link w:val="ae"/>
    <w:uiPriority w:val="99"/>
    <w:semiHidden/>
    <w:rsid w:val="00AF3DB6"/>
    <w:rPr>
      <w:rFonts w:ascii="Segoe UI" w:hAnsi="Segoe UI" w:cs="Segoe UI"/>
      <w:sz w:val="18"/>
      <w:szCs w:val="18"/>
    </w:r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15" w:type="dxa"/>
        <w:right w:w="115" w:type="dxa"/>
      </w:tblCellMar>
    </w:tblPr>
  </w:style>
  <w:style w:type="table" w:customStyle="1" w:styleId="af8">
    <w:basedOn w:val="TableNormal3"/>
    <w:tblPr>
      <w:tblStyleRowBandSize w:val="1"/>
      <w:tblStyleColBandSize w:val="1"/>
      <w:tblCellMar>
        <w:left w:w="115" w:type="dxa"/>
        <w:right w:w="115" w:type="dxa"/>
      </w:tblCellMar>
    </w:tblPr>
  </w:style>
  <w:style w:type="table" w:customStyle="1" w:styleId="af9">
    <w:basedOn w:val="TableNormal3"/>
    <w:tblPr>
      <w:tblStyleRowBandSize w:val="1"/>
      <w:tblStyleColBandSize w:val="1"/>
      <w:tblCellMar>
        <w:left w:w="115" w:type="dxa"/>
        <w:right w:w="115" w:type="dxa"/>
      </w:tblCellMar>
    </w:tblPr>
  </w:style>
  <w:style w:type="table" w:customStyle="1" w:styleId="afa">
    <w:basedOn w:val="TableNormal3"/>
    <w:tblPr>
      <w:tblStyleRowBandSize w:val="1"/>
      <w:tblStyleColBandSize w:val="1"/>
      <w:tblCellMar>
        <w:left w:w="115" w:type="dxa"/>
        <w:right w:w="115" w:type="dxa"/>
      </w:tblCellMar>
    </w:tblPr>
  </w:style>
  <w:style w:type="table" w:customStyle="1" w:styleId="afb">
    <w:basedOn w:val="TableNormal3"/>
    <w:tblPr>
      <w:tblStyleRowBandSize w:val="1"/>
      <w:tblStyleColBandSize w:val="1"/>
      <w:tblCellMar>
        <w:left w:w="115" w:type="dxa"/>
        <w:right w:w="115" w:type="dxa"/>
      </w:tblCellMar>
    </w:tblPr>
  </w:style>
  <w:style w:type="table" w:customStyle="1" w:styleId="afc">
    <w:basedOn w:val="TableNormal3"/>
    <w:tblPr>
      <w:tblStyleRowBandSize w:val="1"/>
      <w:tblStyleColBandSize w:val="1"/>
      <w:tblCellMar>
        <w:left w:w="115" w:type="dxa"/>
        <w:right w:w="115" w:type="dxa"/>
      </w:tblCellMar>
    </w:tblPr>
  </w:style>
  <w:style w:type="table" w:customStyle="1" w:styleId="afd">
    <w:basedOn w:val="TableNormal3"/>
    <w:tblPr>
      <w:tblStyleRowBandSize w:val="1"/>
      <w:tblStyleColBandSize w:val="1"/>
      <w:tblCellMar>
        <w:left w:w="115" w:type="dxa"/>
        <w:right w:w="115" w:type="dxa"/>
      </w:tblCellMar>
    </w:tblPr>
  </w:style>
  <w:style w:type="table" w:customStyle="1" w:styleId="afe">
    <w:basedOn w:val="TableNormal3"/>
    <w:tblPr>
      <w:tblStyleRowBandSize w:val="1"/>
      <w:tblStyleColBandSize w:val="1"/>
      <w:tblCellMar>
        <w:left w:w="115" w:type="dxa"/>
        <w:right w:w="115" w:type="dxa"/>
      </w:tblCellMar>
    </w:tblPr>
  </w:style>
  <w:style w:type="table" w:customStyle="1" w:styleId="aff">
    <w:basedOn w:val="TableNormal3"/>
    <w:tblPr>
      <w:tblStyleRowBandSize w:val="1"/>
      <w:tblStyleColBandSize w:val="1"/>
      <w:tblCellMar>
        <w:left w:w="115" w:type="dxa"/>
        <w:right w:w="115" w:type="dxa"/>
      </w:tblCellMar>
    </w:tblPr>
  </w:style>
  <w:style w:type="table" w:customStyle="1" w:styleId="aff0">
    <w:basedOn w:val="TableNormal3"/>
    <w:tblPr>
      <w:tblStyleRowBandSize w:val="1"/>
      <w:tblStyleColBandSize w:val="1"/>
      <w:tblCellMar>
        <w:left w:w="115" w:type="dxa"/>
        <w:right w:w="115" w:type="dxa"/>
      </w:tblCellMar>
    </w:tblPr>
  </w:style>
  <w:style w:type="table" w:customStyle="1" w:styleId="aff1">
    <w:basedOn w:val="TableNormal3"/>
    <w:tblPr>
      <w:tblStyleRowBandSize w:val="1"/>
      <w:tblStyleColBandSize w:val="1"/>
      <w:tblCellMar>
        <w:left w:w="115" w:type="dxa"/>
        <w:right w:w="115" w:type="dxa"/>
      </w:tblCellMar>
    </w:tblPr>
  </w:style>
  <w:style w:type="character" w:styleId="aff2">
    <w:name w:val="annotation reference"/>
    <w:basedOn w:val="a0"/>
    <w:uiPriority w:val="99"/>
    <w:semiHidden/>
    <w:unhideWhenUsed/>
    <w:rsid w:val="009834FA"/>
    <w:rPr>
      <w:sz w:val="16"/>
      <w:szCs w:val="16"/>
    </w:rPr>
  </w:style>
  <w:style w:type="paragraph" w:styleId="aff3">
    <w:name w:val="annotation text"/>
    <w:basedOn w:val="a"/>
    <w:link w:val="aff4"/>
    <w:uiPriority w:val="99"/>
    <w:semiHidden/>
    <w:unhideWhenUsed/>
    <w:rsid w:val="009834FA"/>
  </w:style>
  <w:style w:type="character" w:customStyle="1" w:styleId="aff4">
    <w:name w:val="Текст примечания Знак"/>
    <w:basedOn w:val="a0"/>
    <w:link w:val="aff3"/>
    <w:uiPriority w:val="99"/>
    <w:semiHidden/>
    <w:rsid w:val="009834FA"/>
  </w:style>
  <w:style w:type="paragraph" w:styleId="aff5">
    <w:name w:val="annotation subject"/>
    <w:basedOn w:val="aff3"/>
    <w:next w:val="aff3"/>
    <w:link w:val="aff6"/>
    <w:uiPriority w:val="99"/>
    <w:semiHidden/>
    <w:unhideWhenUsed/>
    <w:rsid w:val="009834FA"/>
    <w:rPr>
      <w:b/>
      <w:bCs/>
    </w:rPr>
  </w:style>
  <w:style w:type="character" w:customStyle="1" w:styleId="aff6">
    <w:name w:val="Тема примечания Знак"/>
    <w:basedOn w:val="aff4"/>
    <w:link w:val="aff5"/>
    <w:uiPriority w:val="99"/>
    <w:semiHidden/>
    <w:rsid w:val="009834FA"/>
    <w:rPr>
      <w:b/>
      <w:bCs/>
    </w:r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paragraph" w:styleId="afff0">
    <w:name w:val="header"/>
    <w:basedOn w:val="a"/>
    <w:link w:val="afff1"/>
    <w:uiPriority w:val="99"/>
    <w:unhideWhenUsed/>
    <w:rsid w:val="007262CD"/>
    <w:pPr>
      <w:tabs>
        <w:tab w:val="center" w:pos="4677"/>
        <w:tab w:val="right" w:pos="9355"/>
      </w:tabs>
    </w:pPr>
  </w:style>
  <w:style w:type="character" w:customStyle="1" w:styleId="afff1">
    <w:name w:val="Верхний колонтитул Знак"/>
    <w:basedOn w:val="a0"/>
    <w:link w:val="afff0"/>
    <w:uiPriority w:val="99"/>
    <w:rsid w:val="007262CD"/>
  </w:style>
  <w:style w:type="paragraph" w:styleId="afff2">
    <w:name w:val="footer"/>
    <w:basedOn w:val="a"/>
    <w:link w:val="afff3"/>
    <w:uiPriority w:val="99"/>
    <w:unhideWhenUsed/>
    <w:rsid w:val="007262CD"/>
    <w:pPr>
      <w:tabs>
        <w:tab w:val="center" w:pos="4677"/>
        <w:tab w:val="right" w:pos="9355"/>
      </w:tabs>
    </w:pPr>
  </w:style>
  <w:style w:type="character" w:customStyle="1" w:styleId="afff3">
    <w:name w:val="Нижний колонтитул Знак"/>
    <w:basedOn w:val="a0"/>
    <w:link w:val="afff2"/>
    <w:uiPriority w:val="99"/>
    <w:rsid w:val="007262CD"/>
  </w:style>
  <w:style w:type="table" w:customStyle="1" w:styleId="afff4">
    <w:basedOn w:val="TableNormal0"/>
    <w:tblPr>
      <w:tblStyleRowBandSize w:val="1"/>
      <w:tblStyleColBandSize w:val="1"/>
      <w:tblCellMar>
        <w:left w:w="115" w:type="dxa"/>
        <w:right w:w="115" w:type="dxa"/>
      </w:tblCellMar>
    </w:tblPr>
  </w:style>
  <w:style w:type="table" w:customStyle="1" w:styleId="afff5">
    <w:basedOn w:val="TableNormal0"/>
    <w:tblPr>
      <w:tblStyleRowBandSize w:val="1"/>
      <w:tblStyleColBandSize w:val="1"/>
      <w:tblCellMar>
        <w:left w:w="115" w:type="dxa"/>
        <w:right w:w="115" w:type="dxa"/>
      </w:tblCellMar>
    </w:tblPr>
  </w:style>
  <w:style w:type="table" w:customStyle="1" w:styleId="afff6">
    <w:basedOn w:val="TableNormal0"/>
    <w:tblPr>
      <w:tblStyleRowBandSize w:val="1"/>
      <w:tblStyleColBandSize w:val="1"/>
      <w:tblCellMar>
        <w:left w:w="115" w:type="dxa"/>
        <w:right w:w="115"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tblPr>
      <w:tblStyleRowBandSize w:val="1"/>
      <w:tblStyleColBandSize w:val="1"/>
      <w:tblCellMar>
        <w:left w:w="115" w:type="dxa"/>
        <w:right w:w="115" w:type="dxa"/>
      </w:tblCellMar>
    </w:tblPr>
  </w:style>
  <w:style w:type="table" w:customStyle="1" w:styleId="afff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567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RcqQW8+m6Co/KAX2lcZ6EQ5ciQ==">AMUW2mXP5sl5WlJGWniueYXLh6Rfw69BQDFKTP6hGMu82DILo3EFKsMHJx+uR80JJO+gfzS0MeA5W6NCNH7x5/UHzr6gpviF5s9CsjjSeYE6CkJZYRt4GKAd5GzR1y/QC8z8kCG/6N0zGT/jurRb2/B92pPEcHWTsdgl33o/DZ42abVYnGCE6QaOya99XrALxLMRf3KMZY+/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2383</Words>
  <Characters>13587</Characters>
  <Application>Microsoft Office Word</Application>
  <DocSecurity>0</DocSecurity>
  <Lines>113</Lines>
  <Paragraphs>31</Paragraphs>
  <ScaleCrop>false</ScaleCrop>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Кічак Юлія Василівна</dc:creator>
  <cp:lastModifiedBy>OnePiece</cp:lastModifiedBy>
  <cp:revision>22</cp:revision>
  <dcterms:created xsi:type="dcterms:W3CDTF">2021-11-23T08:55:00Z</dcterms:created>
  <dcterms:modified xsi:type="dcterms:W3CDTF">2022-02-02T07:09:00Z</dcterms:modified>
</cp:coreProperties>
</file>