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5B00E" w14:textId="6FD34894" w:rsidR="00115033" w:rsidRPr="00D35543" w:rsidRDefault="00D90EB2" w:rsidP="006751BE">
      <w:pPr>
        <w:spacing w:after="0" w:line="240" w:lineRule="auto"/>
        <w:ind w:left="4111"/>
        <w:contextualSpacing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</w:pPr>
      <w:r w:rsidRPr="00D3554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>СХВАЛЕН</w:t>
      </w:r>
      <w:r w:rsidR="00115033" w:rsidRPr="00D3554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>О</w:t>
      </w:r>
      <w:r w:rsidR="00115033" w:rsidRPr="00D3554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br/>
      </w:r>
      <w:r w:rsidR="00914A25" w:rsidRPr="00D3554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>розпорядженням</w:t>
      </w:r>
      <w:r w:rsidR="00115033" w:rsidRPr="00D3554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 Кабінету Міністрів України</w:t>
      </w:r>
      <w:r w:rsidR="00115033" w:rsidRPr="00D3554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br/>
        <w:t>від ___ _____________ 2020 р. № _____</w:t>
      </w:r>
      <w:r w:rsidR="00115033" w:rsidRPr="00D3554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br/>
      </w:r>
    </w:p>
    <w:p w14:paraId="4C535833" w14:textId="77777777" w:rsidR="00D35543" w:rsidRDefault="00D35543" w:rsidP="006751BE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AB6F9AB" w14:textId="77777777" w:rsidR="00D35543" w:rsidRDefault="00D35543" w:rsidP="006751BE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3EFD1D7" w14:textId="627ED846" w:rsidR="00115033" w:rsidRPr="00360CF3" w:rsidRDefault="00115033" w:rsidP="006751BE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60CF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МЕТОДИЧНІ </w:t>
      </w:r>
      <w:r w:rsidRPr="00360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РЕКОМЕНДАЦІЇ</w:t>
      </w:r>
      <w:r w:rsidRPr="00360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cyan"/>
          <w:lang w:eastAsia="uk-UA"/>
        </w:rPr>
        <w:br/>
      </w:r>
      <w:r w:rsidRPr="00360CF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щодо критеріїв територіальної доступності</w:t>
      </w:r>
      <w:r w:rsidR="002B0B6C" w:rsidRPr="00360CF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ц</w:t>
      </w:r>
      <w:r w:rsidRPr="00360CF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ентру надання адміністративних послуг</w:t>
      </w:r>
      <w:r w:rsidR="002B0B6C" w:rsidRPr="00360CF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включаючи його територіальні підрозділи та віддалені (у тому числі пересувні) робочі місця адміністраторів</w:t>
      </w:r>
    </w:p>
    <w:p w14:paraId="773FE021" w14:textId="77777777" w:rsidR="006751BE" w:rsidRPr="00360CF3" w:rsidRDefault="006751BE" w:rsidP="006751BE">
      <w:pPr>
        <w:rPr>
          <w:color w:val="000000" w:themeColor="text1"/>
        </w:rPr>
      </w:pPr>
    </w:p>
    <w:p w14:paraId="52520D41" w14:textId="1B9C76CD" w:rsidR="00115033" w:rsidRPr="00360CF3" w:rsidRDefault="00115033" w:rsidP="00D3554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360CF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Ці </w:t>
      </w:r>
      <w:r w:rsidR="00397E19" w:rsidRPr="00360CF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М</w:t>
      </w:r>
      <w:r w:rsidRPr="00360CF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етодичні рекомендації розроблені з метою забезпечення єдиного підходу щодо визначення критеріїв, за якими розраховується територіальна доступність до центрів надання адміністративних послуг (далі – центри), їх територіальних підрозділів та віддалених, у тому числі пересувних, робочих місць адміністраторів (далі – віддалені робочі місця)</w:t>
      </w:r>
      <w:r w:rsidR="00DD3716" w:rsidRPr="00360CF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bookmarkStart w:id="0" w:name="_Hlk57142564"/>
      <w:r w:rsidR="00DD3716" w:rsidRPr="00360CF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а також забезпечення </w:t>
      </w:r>
      <w:r w:rsidR="00006343" w:rsidRPr="00360CF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можливості </w:t>
      </w:r>
      <w:r w:rsidR="00DD3716" w:rsidRPr="00360CF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швидкого доступу</w:t>
      </w:r>
      <w:r w:rsidR="00981C71" w:rsidRPr="00360CF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r w:rsidR="00006343" w:rsidRPr="00360CF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суб’єктів звернення до відвідування відповідного центру для отримання адміністративних</w:t>
      </w:r>
      <w:r w:rsidR="00981C71" w:rsidRPr="00360CF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послуг</w:t>
      </w:r>
      <w:r w:rsidR="00006343" w:rsidRPr="00360CF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.</w:t>
      </w:r>
    </w:p>
    <w:bookmarkEnd w:id="0"/>
    <w:p w14:paraId="30D36309" w14:textId="1C777586" w:rsidR="00115033" w:rsidRPr="00360CF3" w:rsidRDefault="00115033" w:rsidP="00D3554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360CF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Територіальна доступність полягає у можливості відвідати суб’єктами звернення відповідний центр, територіальний підрозділ, віддалене робоче місце (далі – об’єкт)</w:t>
      </w:r>
      <w:r w:rsidR="00895761" w:rsidRPr="00360CF3">
        <w:rPr>
          <w:rFonts w:ascii="Arial" w:hAnsi="Arial" w:cs="Arial"/>
          <w:color w:val="000000" w:themeColor="text1"/>
        </w:rPr>
        <w:t xml:space="preserve"> </w:t>
      </w:r>
      <w:r w:rsidR="00895761" w:rsidRPr="00360CF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найбільш доступний та наближений до місця проживання особи</w:t>
      </w:r>
      <w:r w:rsidRPr="00360CF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 огляду на його місце розташування.</w:t>
      </w:r>
    </w:p>
    <w:p w14:paraId="388B23BE" w14:textId="77777777" w:rsidR="00115033" w:rsidRPr="00360CF3" w:rsidRDefault="00115033" w:rsidP="00D3554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360CF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Критеріями територіальної доступності до об’єкту (далі – критерії) є відстань або час, що витрачається на дорогу до нього.</w:t>
      </w:r>
    </w:p>
    <w:p w14:paraId="4CE6F0D6" w14:textId="77777777" w:rsidR="00115033" w:rsidRPr="00360CF3" w:rsidRDefault="00115033" w:rsidP="00D3554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360CF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Відстань до об’єкту має становити не більше ніж 14 кілометрів, а якщо територіальна доступність визначається часом на дорогу – не більше двох годин пішої або за наявності розвинутої мережі публічного транспорту не більше ніж 30 хвилин транспортної доступності до нього.</w:t>
      </w:r>
    </w:p>
    <w:p w14:paraId="52B22027" w14:textId="6E2644FD" w:rsidR="00115033" w:rsidRPr="00360CF3" w:rsidRDefault="00115033" w:rsidP="00D3554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360CF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Центр, як правило, утворюється в населеному пункті</w:t>
      </w:r>
      <w:r w:rsidR="00D35543" w:rsidRPr="00D3554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="00D3554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>–</w:t>
      </w:r>
      <w:r w:rsidR="00D35543" w:rsidRPr="00D3554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Pr="00360CF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адміністративному центрі територіальної громади. За рішенням органу місцевого самоврядування</w:t>
      </w:r>
      <w:r w:rsidR="00006343" w:rsidRPr="00360CF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r w:rsidRPr="00360CF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центр може бути утворено в іншому населеному пункті, який розташований ближче до географічного центру зазначеної територіальної громади або має більшу кількість населення. </w:t>
      </w:r>
    </w:p>
    <w:p w14:paraId="16884CEA" w14:textId="77777777" w:rsidR="00115033" w:rsidRPr="00360CF3" w:rsidRDefault="00115033" w:rsidP="00D3554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360CF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Територіальний підрозділ утворюється у населеному пункті територіальної громади (у першу чергу у колишньому центрі сільської, селищної, міської ради), який розташований на відстані більше ніж 14 кілометрів до центру та має кількість постійного населення не менше ніж 10 тис. осіб.</w:t>
      </w:r>
    </w:p>
    <w:p w14:paraId="05FB7132" w14:textId="4CEAFC82" w:rsidR="00115033" w:rsidRPr="006751BE" w:rsidRDefault="00115033" w:rsidP="00D3554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60CF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Віддалене робоче місце утворюється, а якщо воно є пересувним готується спеціально обладнаний майданчик для нього, у населеному пункті територіальної громади (у першу чергу у колишньому центрі сільської, селищної,</w:t>
      </w:r>
      <w:r w:rsidR="00C6338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br/>
      </w:r>
      <w:r w:rsidR="00C6338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br/>
      </w:r>
      <w:r w:rsidR="00C6338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br/>
      </w:r>
      <w:r w:rsidR="00C6338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br/>
      </w:r>
      <w:r w:rsidR="00C6338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br/>
      </w:r>
      <w:r w:rsidRPr="00360CF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lastRenderedPageBreak/>
        <w:t>міської ради), який розташований на відстані більше ніж 14 кілометрів до центру та має кількість постійного населе</w:t>
      </w:r>
      <w:r w:rsidRPr="003C204D">
        <w:rPr>
          <w:rFonts w:ascii="Times New Roman" w:eastAsia="Times New Roman" w:hAnsi="Times New Roman"/>
          <w:sz w:val="28"/>
          <w:szCs w:val="28"/>
          <w:lang w:eastAsia="uk-UA"/>
        </w:rPr>
        <w:t xml:space="preserve">ння не </w:t>
      </w:r>
      <w:r w:rsidRPr="006751BE">
        <w:rPr>
          <w:rFonts w:ascii="Times New Roman" w:eastAsia="Times New Roman" w:hAnsi="Times New Roman"/>
          <w:sz w:val="28"/>
          <w:szCs w:val="28"/>
          <w:lang w:eastAsia="uk-UA"/>
        </w:rPr>
        <w:t xml:space="preserve">менше ніж 500 осіб. </w:t>
      </w:r>
      <w:bookmarkStart w:id="1" w:name="_GoBack"/>
      <w:bookmarkEnd w:id="1"/>
    </w:p>
    <w:p w14:paraId="0A1A722E" w14:textId="28E948C4" w:rsidR="004F1C61" w:rsidRPr="006751BE" w:rsidRDefault="00115033" w:rsidP="00D3554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751BE">
        <w:rPr>
          <w:rFonts w:ascii="Times New Roman" w:eastAsia="Times New Roman" w:hAnsi="Times New Roman"/>
          <w:sz w:val="28"/>
          <w:szCs w:val="28"/>
          <w:lang w:eastAsia="uk-UA"/>
        </w:rPr>
        <w:t xml:space="preserve">За рішенням органу місцевого самоврядування (зокрема з урахуванням чинників, зазначених у пункті 10 цих </w:t>
      </w:r>
      <w:r w:rsidR="00397E19">
        <w:rPr>
          <w:rFonts w:ascii="Times New Roman" w:eastAsia="Times New Roman" w:hAnsi="Times New Roman"/>
          <w:sz w:val="28"/>
          <w:szCs w:val="28"/>
          <w:lang w:eastAsia="uk-UA"/>
        </w:rPr>
        <w:t>М</w:t>
      </w:r>
      <w:r w:rsidRPr="006751BE">
        <w:rPr>
          <w:rFonts w:ascii="Times New Roman" w:eastAsia="Times New Roman" w:hAnsi="Times New Roman"/>
          <w:sz w:val="28"/>
          <w:szCs w:val="28"/>
          <w:lang w:eastAsia="uk-UA"/>
        </w:rPr>
        <w:t>етодичних рекомендацій), територіальні підрозділи  та віддалені робочі місця можуть також утворюватися</w:t>
      </w:r>
      <w:r w:rsidR="004F1C61" w:rsidRPr="006751B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6751BE">
        <w:rPr>
          <w:rFonts w:ascii="Times New Roman" w:eastAsia="Times New Roman" w:hAnsi="Times New Roman"/>
          <w:sz w:val="28"/>
          <w:szCs w:val="28"/>
          <w:lang w:eastAsia="uk-UA"/>
        </w:rPr>
        <w:t>у населених пунктах, які розташовані на відстані менш ніж 14 кілометрів до центру та мають кількість постійного населення меншу ніж 10 тис. та 500 осіб відповідно.</w:t>
      </w:r>
      <w:r w:rsidR="004F1C61" w:rsidRPr="006751BE">
        <w:rPr>
          <w:rFonts w:ascii="Times New Roman" w:eastAsia="Times New Roman" w:hAnsi="Times New Roman"/>
          <w:sz w:val="28"/>
          <w:szCs w:val="28"/>
          <w:lang w:eastAsia="uk-UA"/>
        </w:rPr>
        <w:t xml:space="preserve"> Зокрема, пересувні віддалені робочі місця можуть утворюватися для обслуговування маломобільних груп населення (осіб з інвалідністю, осіб з тимчасовими розладами здоров’я, осіб похилого віку, вагітних жінок та осіб,</w:t>
      </w:r>
      <w:r w:rsidR="00896263" w:rsidRPr="006751BE">
        <w:rPr>
          <w:rFonts w:ascii="Times New Roman" w:eastAsia="Times New Roman" w:hAnsi="Times New Roman"/>
          <w:sz w:val="28"/>
          <w:szCs w:val="28"/>
          <w:lang w:eastAsia="uk-UA"/>
        </w:rPr>
        <w:t xml:space="preserve"> які доглядають за дитиною до 6 років тощо).</w:t>
      </w:r>
    </w:p>
    <w:p w14:paraId="164917DB" w14:textId="5064B825" w:rsidR="00115033" w:rsidRPr="00076AF3" w:rsidRDefault="00115033" w:rsidP="00D3554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751BE">
        <w:rPr>
          <w:rFonts w:ascii="Times New Roman" w:eastAsia="Times New Roman" w:hAnsi="Times New Roman"/>
          <w:sz w:val="28"/>
          <w:szCs w:val="28"/>
          <w:lang w:eastAsia="uk-UA"/>
        </w:rPr>
        <w:t xml:space="preserve">Критерії визначаються </w:t>
      </w:r>
      <w:r w:rsidRPr="00B45844">
        <w:rPr>
          <w:rFonts w:ascii="Times New Roman" w:eastAsia="Times New Roman" w:hAnsi="Times New Roman"/>
          <w:sz w:val="28"/>
          <w:szCs w:val="28"/>
          <w:lang w:eastAsia="uk-UA"/>
        </w:rPr>
        <w:t>з урахуванням меж територіальної громади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і не </w:t>
      </w:r>
      <w:r w:rsidRPr="005E4C0E">
        <w:rPr>
          <w:rFonts w:ascii="Times New Roman" w:eastAsia="Times New Roman" w:hAnsi="Times New Roman"/>
          <w:sz w:val="28"/>
          <w:szCs w:val="28"/>
          <w:lang w:eastAsia="uk-UA"/>
        </w:rPr>
        <w:t>застосову</w:t>
      </w:r>
      <w:r w:rsidR="00695F88" w:rsidRPr="005E4C0E">
        <w:rPr>
          <w:rFonts w:ascii="Times New Roman" w:eastAsia="Times New Roman" w:hAnsi="Times New Roman"/>
          <w:sz w:val="28"/>
          <w:szCs w:val="28"/>
          <w:lang w:eastAsia="uk-UA"/>
        </w:rPr>
        <w:t>ю</w:t>
      </w:r>
      <w:r w:rsidRPr="005E4C0E">
        <w:rPr>
          <w:rFonts w:ascii="Times New Roman" w:eastAsia="Times New Roman" w:hAnsi="Times New Roman"/>
          <w:sz w:val="28"/>
          <w:szCs w:val="28"/>
          <w:lang w:eastAsia="uk-UA"/>
        </w:rPr>
        <w:t>ться для</w:t>
      </w:r>
      <w:r w:rsidRPr="00076AF3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0D24DB3E" w14:textId="11A75762" w:rsidR="00115033" w:rsidRPr="009F361C" w:rsidRDefault="00115033" w:rsidP="00D35543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F361C">
        <w:rPr>
          <w:rFonts w:ascii="Times New Roman" w:eastAsia="Times New Roman" w:hAnsi="Times New Roman"/>
          <w:sz w:val="28"/>
          <w:szCs w:val="28"/>
          <w:lang w:eastAsia="uk-UA"/>
        </w:rPr>
        <w:t xml:space="preserve">суб’єктів звернення, які проживають в інших територіальних громадах та відвідують об’єкти для отримання екстериторіальних послуг </w:t>
      </w:r>
      <w:r w:rsidR="005E4C0E" w:rsidRPr="009F361C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r w:rsidRPr="009F361C">
        <w:rPr>
          <w:rFonts w:ascii="Times New Roman" w:eastAsia="Times New Roman" w:hAnsi="Times New Roman"/>
          <w:sz w:val="28"/>
          <w:szCs w:val="28"/>
          <w:lang w:eastAsia="uk-UA"/>
        </w:rPr>
        <w:t>послуг, що надаються незалежно від місця проживання);</w:t>
      </w:r>
    </w:p>
    <w:p w14:paraId="59FB9338" w14:textId="77777777" w:rsidR="00115033" w:rsidRPr="005A768E" w:rsidRDefault="00115033" w:rsidP="00D35543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суб’єктів звернення, які проживають в</w:t>
      </w:r>
      <w:r w:rsidRPr="005A768E">
        <w:rPr>
          <w:rFonts w:ascii="Times New Roman" w:eastAsia="Times New Roman" w:hAnsi="Times New Roman"/>
          <w:sz w:val="28"/>
          <w:szCs w:val="28"/>
          <w:lang w:eastAsia="uk-UA"/>
        </w:rPr>
        <w:t xml:space="preserve"> інших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територіальних </w:t>
      </w:r>
      <w:r w:rsidRPr="005A768E">
        <w:rPr>
          <w:rFonts w:ascii="Times New Roman" w:eastAsia="Times New Roman" w:hAnsi="Times New Roman"/>
          <w:sz w:val="28"/>
          <w:szCs w:val="28"/>
          <w:lang w:eastAsia="uk-UA"/>
        </w:rPr>
        <w:t>громад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ах району та відвідують</w:t>
      </w:r>
      <w:r w:rsidRPr="005A768E">
        <w:rPr>
          <w:rFonts w:ascii="Times New Roman" w:eastAsia="Times New Roman" w:hAnsi="Times New Roman"/>
          <w:sz w:val="28"/>
          <w:szCs w:val="28"/>
          <w:lang w:eastAsia="uk-UA"/>
        </w:rPr>
        <w:t xml:space="preserve"> центр, утворени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й</w:t>
      </w:r>
      <w:r w:rsidRPr="005A768E">
        <w:rPr>
          <w:rFonts w:ascii="Times New Roman" w:eastAsia="Times New Roman" w:hAnsi="Times New Roman"/>
          <w:sz w:val="28"/>
          <w:szCs w:val="28"/>
          <w:lang w:eastAsia="uk-UA"/>
        </w:rPr>
        <w:t xml:space="preserve"> у населеному пункті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-</w:t>
      </w:r>
      <w:r w:rsidRPr="005A768E">
        <w:rPr>
          <w:rFonts w:ascii="Times New Roman" w:eastAsia="Times New Roman" w:hAnsi="Times New Roman"/>
          <w:sz w:val="28"/>
          <w:szCs w:val="28"/>
          <w:lang w:eastAsia="uk-UA"/>
        </w:rPr>
        <w:t xml:space="preserve"> адміністративн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ому</w:t>
      </w:r>
      <w:r w:rsidRPr="005A768E">
        <w:rPr>
          <w:rFonts w:ascii="Times New Roman" w:eastAsia="Times New Roman" w:hAnsi="Times New Roman"/>
          <w:sz w:val="28"/>
          <w:szCs w:val="28"/>
          <w:lang w:eastAsia="uk-UA"/>
        </w:rPr>
        <w:t xml:space="preserve"> центр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Pr="005A768E">
        <w:rPr>
          <w:rFonts w:ascii="Times New Roman" w:eastAsia="Times New Roman" w:hAnsi="Times New Roman"/>
          <w:sz w:val="28"/>
          <w:szCs w:val="28"/>
          <w:lang w:eastAsia="uk-UA"/>
        </w:rPr>
        <w:t xml:space="preserve"> району,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для отримання </w:t>
      </w:r>
      <w:r w:rsidRPr="005A768E">
        <w:rPr>
          <w:rFonts w:ascii="Times New Roman" w:eastAsia="Times New Roman" w:hAnsi="Times New Roman"/>
          <w:sz w:val="28"/>
          <w:szCs w:val="28"/>
          <w:lang w:eastAsia="uk-UA"/>
        </w:rPr>
        <w:t>послуг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, які обов’язкові </w:t>
      </w:r>
      <w:r w:rsidRPr="005A768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для надання населенню району лише через цей центр</w:t>
      </w:r>
      <w:r w:rsidRPr="005A768E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234B9FF1" w14:textId="77777777" w:rsidR="00115033" w:rsidRDefault="00115033" w:rsidP="00D35543">
      <w:pPr>
        <w:tabs>
          <w:tab w:val="left" w:pos="851"/>
          <w:tab w:val="left" w:pos="993"/>
        </w:tabs>
        <w:spacing w:after="0" w:line="240" w:lineRule="auto"/>
        <w:ind w:right="57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Для отримання послуг, зазначених у підпунктах 1 та 2 цього пункту, </w:t>
      </w:r>
      <w:r w:rsidRPr="004504A0">
        <w:rPr>
          <w:rFonts w:ascii="Times New Roman" w:eastAsia="Times New Roman" w:hAnsi="Times New Roman"/>
          <w:sz w:val="28"/>
          <w:szCs w:val="28"/>
          <w:lang w:eastAsia="uk-UA"/>
        </w:rPr>
        <w:t>договор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и</w:t>
      </w:r>
      <w:r w:rsidRPr="004504A0">
        <w:rPr>
          <w:rFonts w:ascii="Times New Roman" w:eastAsia="Times New Roman" w:hAnsi="Times New Roman"/>
          <w:sz w:val="28"/>
          <w:szCs w:val="28"/>
          <w:lang w:eastAsia="uk-UA"/>
        </w:rPr>
        <w:t xml:space="preserve"> про співробітництво територіальних громад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не укладаються.</w:t>
      </w:r>
    </w:p>
    <w:p w14:paraId="274396CD" w14:textId="77777777" w:rsidR="00115033" w:rsidRPr="006751BE" w:rsidRDefault="00115033" w:rsidP="00D3554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Критерії мають середню величину і можуть коригуватися в залежності від таких чинників</w:t>
      </w:r>
      <w:r w:rsidRPr="00C52FFB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66FCFD6D" w14:textId="2FB5B1FE" w:rsidR="00115033" w:rsidRPr="006751BE" w:rsidRDefault="00115033" w:rsidP="00D35543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751BE">
        <w:rPr>
          <w:rFonts w:ascii="Times New Roman" w:eastAsia="Times New Roman" w:hAnsi="Times New Roman"/>
          <w:sz w:val="28"/>
          <w:szCs w:val="28"/>
          <w:lang w:eastAsia="uk-UA"/>
        </w:rPr>
        <w:t>щільність, концентрація, вік</w:t>
      </w:r>
      <w:r w:rsidR="00461693" w:rsidRPr="006751BE">
        <w:rPr>
          <w:rFonts w:ascii="Times New Roman" w:eastAsia="Times New Roman" w:hAnsi="Times New Roman"/>
          <w:sz w:val="28"/>
          <w:szCs w:val="28"/>
          <w:lang w:eastAsia="uk-UA"/>
        </w:rPr>
        <w:t>ова</w:t>
      </w:r>
      <w:r w:rsidRPr="006751BE">
        <w:rPr>
          <w:rFonts w:ascii="Times New Roman" w:eastAsia="Times New Roman" w:hAnsi="Times New Roman"/>
          <w:sz w:val="28"/>
          <w:szCs w:val="28"/>
          <w:lang w:eastAsia="uk-UA"/>
        </w:rPr>
        <w:t xml:space="preserve"> та соціально-демографічна структура населення;</w:t>
      </w:r>
    </w:p>
    <w:p w14:paraId="12933F54" w14:textId="77777777" w:rsidR="00115033" w:rsidRDefault="00115033" w:rsidP="00D35543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мережа та статус населених пунктів;</w:t>
      </w:r>
    </w:p>
    <w:p w14:paraId="35F12F3D" w14:textId="77777777" w:rsidR="00115033" w:rsidRPr="00E63733" w:rsidRDefault="00115033" w:rsidP="00D35543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мережа діючих об’єктів, а також переліки послуг, які вони надають;</w:t>
      </w:r>
    </w:p>
    <w:p w14:paraId="00AE1A12" w14:textId="77777777" w:rsidR="00115033" w:rsidRDefault="00115033" w:rsidP="00D35543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співвідношення територіальних послуг</w:t>
      </w:r>
      <w:r w:rsidRPr="005A768E">
        <w:rPr>
          <w:rFonts w:ascii="Times New Roman" w:eastAsia="Times New Roman" w:hAnsi="Times New Roman"/>
          <w:sz w:val="28"/>
          <w:szCs w:val="28"/>
          <w:lang w:eastAsia="uk-UA"/>
        </w:rPr>
        <w:t xml:space="preserve"> (послуг, що надаються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за</w:t>
      </w:r>
      <w:r w:rsidRPr="005A768E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місц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ем</w:t>
      </w:r>
      <w:r w:rsidRPr="005A768E">
        <w:rPr>
          <w:rFonts w:ascii="Times New Roman" w:eastAsia="Times New Roman" w:hAnsi="Times New Roman"/>
          <w:sz w:val="28"/>
          <w:szCs w:val="28"/>
          <w:lang w:eastAsia="uk-UA"/>
        </w:rPr>
        <w:t xml:space="preserve"> проживання)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та екстериторіальних послуг;</w:t>
      </w:r>
    </w:p>
    <w:p w14:paraId="322ACF06" w14:textId="77777777" w:rsidR="00115033" w:rsidRDefault="00115033" w:rsidP="00D35543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мережа суб’єктів надання адміністративних послуг;</w:t>
      </w:r>
    </w:p>
    <w:p w14:paraId="2F54F2A6" w14:textId="77777777" w:rsidR="00115033" w:rsidRDefault="00115033" w:rsidP="00D35543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кількість зареєстрованих юридичних осіб та фізичних осіб-підприємців;</w:t>
      </w:r>
    </w:p>
    <w:p w14:paraId="68ED84A2" w14:textId="77777777" w:rsidR="00115033" w:rsidRPr="00B81BAC" w:rsidRDefault="00115033" w:rsidP="00D35543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81BAC">
        <w:rPr>
          <w:rFonts w:ascii="Times New Roman" w:eastAsia="Times New Roman" w:hAnsi="Times New Roman"/>
          <w:sz w:val="28"/>
          <w:szCs w:val="28"/>
          <w:lang w:eastAsia="uk-UA"/>
        </w:rPr>
        <w:t>розвиненість транспортної інфраструктури;</w:t>
      </w:r>
    </w:p>
    <w:p w14:paraId="7B06377E" w14:textId="4E41CD87" w:rsidR="00115033" w:rsidRDefault="00115033" w:rsidP="00D35543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F33E7">
        <w:rPr>
          <w:rFonts w:ascii="Times New Roman" w:eastAsia="Times New Roman" w:hAnsi="Times New Roman"/>
          <w:sz w:val="28"/>
          <w:szCs w:val="28"/>
          <w:lang w:eastAsia="uk-UA"/>
        </w:rPr>
        <w:t>розвиненість мережі Інтернет.</w:t>
      </w:r>
    </w:p>
    <w:p w14:paraId="52FC8F10" w14:textId="3E094B01" w:rsidR="00D35543" w:rsidRPr="00D35543" w:rsidRDefault="00D35543" w:rsidP="00D35543">
      <w:pPr>
        <w:tabs>
          <w:tab w:val="left" w:pos="851"/>
          <w:tab w:val="left" w:pos="993"/>
        </w:tabs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58F3850" w14:textId="2B7608D5" w:rsidR="00D35543" w:rsidRPr="00D35543" w:rsidRDefault="00D35543" w:rsidP="00D35543">
      <w:pPr>
        <w:pStyle w:val="a3"/>
        <w:tabs>
          <w:tab w:val="left" w:pos="851"/>
          <w:tab w:val="left" w:pos="993"/>
        </w:tabs>
        <w:spacing w:after="0" w:line="240" w:lineRule="auto"/>
        <w:ind w:left="709" w:right="57"/>
        <w:jc w:val="center"/>
        <w:rPr>
          <w:rFonts w:ascii="Times New Roman" w:eastAsia="Times New Roman" w:hAnsi="Times New Roman"/>
          <w:sz w:val="28"/>
          <w:szCs w:val="28"/>
          <w:lang w:val="en-US" w:eastAsia="uk-UA"/>
        </w:rPr>
      </w:pPr>
      <w:r>
        <w:rPr>
          <w:rFonts w:ascii="Times New Roman" w:eastAsia="Times New Roman" w:hAnsi="Times New Roman"/>
          <w:sz w:val="28"/>
          <w:szCs w:val="28"/>
          <w:lang w:val="en-US" w:eastAsia="uk-UA"/>
        </w:rPr>
        <w:t>____________________________</w:t>
      </w:r>
    </w:p>
    <w:p w14:paraId="388BCFDD" w14:textId="77777777" w:rsidR="00115033" w:rsidRDefault="00115033" w:rsidP="00D35543">
      <w:pPr>
        <w:tabs>
          <w:tab w:val="left" w:pos="993"/>
        </w:tabs>
        <w:spacing w:after="0" w:line="240" w:lineRule="auto"/>
        <w:ind w:firstLine="709"/>
        <w:contextualSpacing/>
      </w:pPr>
    </w:p>
    <w:p w14:paraId="66B22B1F" w14:textId="77777777" w:rsidR="00115033" w:rsidRDefault="00115033" w:rsidP="00D35543">
      <w:pPr>
        <w:tabs>
          <w:tab w:val="left" w:pos="993"/>
        </w:tabs>
        <w:spacing w:after="0" w:line="240" w:lineRule="auto"/>
        <w:ind w:firstLine="709"/>
        <w:contextualSpacing/>
      </w:pPr>
    </w:p>
    <w:p w14:paraId="06CB0289" w14:textId="77777777" w:rsidR="005E5FC1" w:rsidRDefault="005E5FC1" w:rsidP="00D35543">
      <w:pPr>
        <w:tabs>
          <w:tab w:val="left" w:pos="993"/>
        </w:tabs>
        <w:spacing w:after="0" w:line="240" w:lineRule="auto"/>
        <w:ind w:firstLine="709"/>
        <w:contextualSpacing/>
      </w:pPr>
    </w:p>
    <w:sectPr w:rsidR="005E5FC1" w:rsidSect="00D35543">
      <w:headerReference w:type="default" r:id="rId7"/>
      <w:pgSz w:w="11906" w:h="16838"/>
      <w:pgMar w:top="993" w:right="707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25093" w14:textId="77777777" w:rsidR="009C0EF5" w:rsidRDefault="009C0EF5" w:rsidP="000D771B">
      <w:pPr>
        <w:spacing w:after="0" w:line="240" w:lineRule="auto"/>
      </w:pPr>
      <w:r>
        <w:separator/>
      </w:r>
    </w:p>
  </w:endnote>
  <w:endnote w:type="continuationSeparator" w:id="0">
    <w:p w14:paraId="629BD3C8" w14:textId="77777777" w:rsidR="009C0EF5" w:rsidRDefault="009C0EF5" w:rsidP="000D7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6E270" w14:textId="77777777" w:rsidR="009C0EF5" w:rsidRDefault="009C0EF5" w:rsidP="000D771B">
      <w:pPr>
        <w:spacing w:after="0" w:line="240" w:lineRule="auto"/>
      </w:pPr>
      <w:r>
        <w:separator/>
      </w:r>
    </w:p>
  </w:footnote>
  <w:footnote w:type="continuationSeparator" w:id="0">
    <w:p w14:paraId="120A61F2" w14:textId="77777777" w:rsidR="009C0EF5" w:rsidRDefault="009C0EF5" w:rsidP="000D7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8"/>
        <w:szCs w:val="28"/>
      </w:rPr>
      <w:id w:val="-1663614620"/>
      <w:docPartObj>
        <w:docPartGallery w:val="Page Numbers (Top of Page)"/>
        <w:docPartUnique/>
      </w:docPartObj>
    </w:sdtPr>
    <w:sdtEndPr/>
    <w:sdtContent>
      <w:p w14:paraId="7B9B10A8" w14:textId="5970D6D6" w:rsidR="000D771B" w:rsidRPr="00D35543" w:rsidRDefault="000D771B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D35543">
          <w:rPr>
            <w:rFonts w:ascii="Times New Roman" w:hAnsi="Times New Roman"/>
            <w:sz w:val="28"/>
            <w:szCs w:val="28"/>
          </w:rPr>
          <w:fldChar w:fldCharType="begin"/>
        </w:r>
        <w:r w:rsidRPr="00D3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35543">
          <w:rPr>
            <w:rFonts w:ascii="Times New Roman" w:hAnsi="Times New Roman"/>
            <w:sz w:val="28"/>
            <w:szCs w:val="28"/>
          </w:rPr>
          <w:fldChar w:fldCharType="separate"/>
        </w:r>
        <w:r w:rsidRPr="00D35543">
          <w:rPr>
            <w:rFonts w:ascii="Times New Roman" w:hAnsi="Times New Roman"/>
            <w:sz w:val="28"/>
            <w:szCs w:val="28"/>
          </w:rPr>
          <w:t>2</w:t>
        </w:r>
        <w:r w:rsidRPr="00D3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886E04B" w14:textId="77777777" w:rsidR="000D771B" w:rsidRDefault="000D771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E7644"/>
    <w:multiLevelType w:val="hybridMultilevel"/>
    <w:tmpl w:val="A066F372"/>
    <w:lvl w:ilvl="0" w:tplc="E1CCE1C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1542A62"/>
    <w:multiLevelType w:val="hybridMultilevel"/>
    <w:tmpl w:val="42FABCF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7E27649"/>
    <w:multiLevelType w:val="hybridMultilevel"/>
    <w:tmpl w:val="2B24670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33"/>
    <w:rsid w:val="00006343"/>
    <w:rsid w:val="000A47E6"/>
    <w:rsid w:val="000D771B"/>
    <w:rsid w:val="00115033"/>
    <w:rsid w:val="00147CD8"/>
    <w:rsid w:val="00235510"/>
    <w:rsid w:val="002B0B6C"/>
    <w:rsid w:val="00360CF3"/>
    <w:rsid w:val="00375A26"/>
    <w:rsid w:val="00397E19"/>
    <w:rsid w:val="003C7619"/>
    <w:rsid w:val="00461693"/>
    <w:rsid w:val="004F1C61"/>
    <w:rsid w:val="005E4C0E"/>
    <w:rsid w:val="005E5FC1"/>
    <w:rsid w:val="006751BE"/>
    <w:rsid w:val="00695F88"/>
    <w:rsid w:val="006B4D0F"/>
    <w:rsid w:val="00794DCA"/>
    <w:rsid w:val="00895761"/>
    <w:rsid w:val="00896263"/>
    <w:rsid w:val="00914A25"/>
    <w:rsid w:val="00981C71"/>
    <w:rsid w:val="009C0EF5"/>
    <w:rsid w:val="009F361C"/>
    <w:rsid w:val="00A1182D"/>
    <w:rsid w:val="00B30490"/>
    <w:rsid w:val="00BE1442"/>
    <w:rsid w:val="00C63383"/>
    <w:rsid w:val="00D35543"/>
    <w:rsid w:val="00D449F9"/>
    <w:rsid w:val="00D52F65"/>
    <w:rsid w:val="00D90EB2"/>
    <w:rsid w:val="00DD3716"/>
    <w:rsid w:val="00E401F4"/>
    <w:rsid w:val="00E91D13"/>
    <w:rsid w:val="00F7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6FA50A"/>
  <w15:chartTrackingRefBased/>
  <w15:docId w15:val="{C940BDF5-A828-4483-B5E6-EE7F8087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033"/>
    <w:pPr>
      <w:spacing w:before="0" w:after="160" w:line="259" w:lineRule="auto"/>
    </w:pPr>
    <w:rPr>
      <w:rFonts w:ascii="Calibri" w:eastAsia="Calibri" w:hAnsi="Calibri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150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35510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5510"/>
    <w:rPr>
      <w:rFonts w:eastAsiaTheme="majorEastAsia" w:cstheme="majorBidi"/>
      <w:b/>
      <w:szCs w:val="26"/>
    </w:rPr>
  </w:style>
  <w:style w:type="character" w:customStyle="1" w:styleId="10">
    <w:name w:val="Заголовок 1 Знак"/>
    <w:basedOn w:val="a0"/>
    <w:link w:val="1"/>
    <w:uiPriority w:val="9"/>
    <w:rsid w:val="001150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3">
    <w:name w:val="List Paragraph"/>
    <w:basedOn w:val="a"/>
    <w:uiPriority w:val="34"/>
    <w:qFormat/>
    <w:rsid w:val="001150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1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61693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0D7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D771B"/>
    <w:rPr>
      <w:rFonts w:ascii="Calibri" w:eastAsia="Calibri" w:hAnsi="Calibri"/>
      <w:sz w:val="22"/>
      <w:szCs w:val="22"/>
      <w:lang w:val="uk-UA"/>
    </w:rPr>
  </w:style>
  <w:style w:type="paragraph" w:styleId="a8">
    <w:name w:val="footer"/>
    <w:basedOn w:val="a"/>
    <w:link w:val="a9"/>
    <w:uiPriority w:val="99"/>
    <w:unhideWhenUsed/>
    <w:rsid w:val="000D7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D771B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Borysov</dc:creator>
  <cp:keywords/>
  <dc:description/>
  <cp:lastModifiedBy>Кічак Юлія Василівна</cp:lastModifiedBy>
  <cp:revision>4</cp:revision>
  <dcterms:created xsi:type="dcterms:W3CDTF">2020-12-24T13:30:00Z</dcterms:created>
  <dcterms:modified xsi:type="dcterms:W3CDTF">2020-12-27T23:13:00Z</dcterms:modified>
</cp:coreProperties>
</file>