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14F54" w:rsidRDefault="00992B6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</w:p>
    <w:p w14:paraId="00000002" w14:textId="77777777" w:rsidR="00814F54" w:rsidRDefault="00992B6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Times New Roman" w:eastAsia="Times New Roman" w:hAnsi="Times New Roman" w:cs="Times New Roman"/>
          <w:b/>
          <w:i/>
          <w:smallCap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smallCaps/>
          <w:color w:val="000000"/>
          <w:sz w:val="48"/>
          <w:szCs w:val="48"/>
        </w:rPr>
        <w:t>Закон Укра</w:t>
      </w:r>
      <w:r>
        <w:rPr>
          <w:rFonts w:ascii="Times New Roman" w:eastAsia="Times New Roman" w:hAnsi="Times New Roman" w:cs="Times New Roman"/>
          <w:b/>
          <w:i/>
          <w:smallCaps/>
          <w:sz w:val="48"/>
          <w:szCs w:val="48"/>
        </w:rPr>
        <w:t>ї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48"/>
          <w:szCs w:val="48"/>
        </w:rPr>
        <w:t>ни</w:t>
      </w:r>
    </w:p>
    <w:p w14:paraId="00000003" w14:textId="17AF15BF" w:rsidR="00814F54" w:rsidRDefault="00992B6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внесення зміни до статті 24 Закону України «Про регулювання містобудівної діяльності» щодо спрощення розміщення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об'єктів телекомунікаційної інфраструктури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0000005" w14:textId="77777777" w:rsidR="00814F54" w:rsidRDefault="00992B6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Верховна Рада України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 о с т а н о в л я є:</w:t>
      </w:r>
    </w:p>
    <w:p w14:paraId="00000006" w14:textId="77777777" w:rsidR="00814F54" w:rsidRDefault="00814F5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2D3873E2" w:rsidR="00814F54" w:rsidRDefault="00A33782" w:rsidP="00F137C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92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8363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83635" w:rsidRPr="0098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ункт 4 частини третьої статті 24 </w:t>
      </w:r>
      <w:r w:rsidR="00992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України «Про регулювання містобудівної діяльності» </w:t>
      </w:r>
      <w:r w:rsidR="00992B6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(Відомості Верховної Ради України</w:t>
      </w:r>
      <w:r w:rsidR="00F137C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992B6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F137C2" w:rsidRPr="00F137C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2011 р., № 34, </w:t>
      </w:r>
      <w:r w:rsidR="0098363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 w:rsidR="00F137C2" w:rsidRPr="00F137C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ст. 343; </w:t>
      </w:r>
      <w:r w:rsidR="00F137C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2018 р., № 15, ст. 121</w:t>
      </w:r>
      <w:r w:rsidR="00992B6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</w:t>
      </w:r>
      <w:r w:rsidR="0098363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викласти</w:t>
      </w:r>
      <w:r w:rsidR="00992B6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r w:rsidR="00992B61">
        <w:rPr>
          <w:rFonts w:ascii="Times New Roman" w:eastAsia="Times New Roman" w:hAnsi="Times New Roman" w:cs="Times New Roman"/>
          <w:sz w:val="28"/>
          <w:szCs w:val="28"/>
          <w:highlight w:val="white"/>
        </w:rPr>
        <w:t>у такій редакції:</w:t>
      </w:r>
    </w:p>
    <w:p w14:paraId="00000008" w14:textId="7CF6A0C6" w:rsidR="00814F54" w:rsidRDefault="00992B61" w:rsidP="00F137C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«4) надання земельної ділянки для розміщення лінійних об’єктів транспортної, енергетичної інфраструктури (доріг, мостів, естакад, ліній електропередачі) та об'єктів телекомунікаційної інфраструктури (технічних засобів та/або споруд телекомунікацій, що є складовими телекомунікаційних мереж, в тому числі, базових станцій мобільного зв’язку та їх ліній зовнішнього електроживлення, кабельної каналізації електрозв’язку, волоконно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-оптичних ліній зв′язку)».</w:t>
      </w:r>
    </w:p>
    <w:p w14:paraId="00000009" w14:textId="77777777" w:rsidR="00814F54" w:rsidRDefault="00814F54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rFonts w:ascii="Times New Roman" w:eastAsia="Times New Roman" w:hAnsi="Times New Roman" w:cs="Times New Roman"/>
          <w:sz w:val="4"/>
          <w:szCs w:val="4"/>
          <w:highlight w:val="white"/>
        </w:rPr>
      </w:pPr>
    </w:p>
    <w:p w14:paraId="0000000B" w14:textId="49FFBB94" w:rsidR="00A33782" w:rsidRDefault="00A33782" w:rsidP="00A3378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</w:t>
      </w:r>
      <w:r w:rsidR="00992B61" w:rsidRPr="00A33782">
        <w:rPr>
          <w:rFonts w:ascii="Times New Roman" w:eastAsia="Times New Roman" w:hAnsi="Times New Roman" w:cs="Times New Roman"/>
          <w:sz w:val="28"/>
          <w:szCs w:val="28"/>
          <w:highlight w:val="white"/>
        </w:rPr>
        <w:t>Цей Закон набирає чинності з дня, наступного за днем його опублікування.</w:t>
      </w:r>
    </w:p>
    <w:p w14:paraId="0000000D" w14:textId="5E1676BD" w:rsidR="00814F54" w:rsidRDefault="00814F54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777777" w:rsidR="00814F54" w:rsidRDefault="00992B61">
      <w:pPr>
        <w:spacing w:before="7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Голова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Верховної Ради України</w:t>
      </w:r>
    </w:p>
    <w:sectPr w:rsidR="00814F54">
      <w:headerReference w:type="default" r:id="rId7"/>
      <w:pgSz w:w="11906" w:h="16838"/>
      <w:pgMar w:top="850" w:right="566" w:bottom="85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AC718" w14:textId="77777777" w:rsidR="009E7CDB" w:rsidRDefault="009E7CDB">
      <w:r>
        <w:separator/>
      </w:r>
    </w:p>
  </w:endnote>
  <w:endnote w:type="continuationSeparator" w:id="0">
    <w:p w14:paraId="56F240AD" w14:textId="77777777" w:rsidR="009E7CDB" w:rsidRDefault="009E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37EAC" w14:textId="77777777" w:rsidR="009E7CDB" w:rsidRDefault="009E7CDB">
      <w:r>
        <w:separator/>
      </w:r>
    </w:p>
  </w:footnote>
  <w:footnote w:type="continuationSeparator" w:id="0">
    <w:p w14:paraId="5E8F0326" w14:textId="77777777" w:rsidR="009E7CDB" w:rsidRDefault="009E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F" w14:textId="77777777" w:rsidR="00814F54" w:rsidRDefault="00992B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10" w14:textId="77777777" w:rsidR="00814F54" w:rsidRDefault="00814F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65301"/>
    <w:multiLevelType w:val="hybridMultilevel"/>
    <w:tmpl w:val="18A49EBE"/>
    <w:lvl w:ilvl="0" w:tplc="61AA17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54"/>
    <w:rsid w:val="00000A21"/>
    <w:rsid w:val="00217F48"/>
    <w:rsid w:val="00814F54"/>
    <w:rsid w:val="00957B58"/>
    <w:rsid w:val="00983635"/>
    <w:rsid w:val="00992B61"/>
    <w:rsid w:val="009E7CDB"/>
    <w:rsid w:val="00A33782"/>
    <w:rsid w:val="00C363B0"/>
    <w:rsid w:val="00EB1CEE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66A8"/>
  <w15:docId w15:val="{818B493D-4912-4689-95ED-270DECFB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ntiqua" w:eastAsia="Antiqua" w:hAnsi="Antiqua" w:cs="Antiqua"/>
        <w:sz w:val="26"/>
        <w:szCs w:val="26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3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Кічак Юлія Василівна</cp:lastModifiedBy>
  <cp:revision>5</cp:revision>
  <dcterms:created xsi:type="dcterms:W3CDTF">2021-01-04T00:55:00Z</dcterms:created>
  <dcterms:modified xsi:type="dcterms:W3CDTF">2021-01-10T21:00:00Z</dcterms:modified>
</cp:coreProperties>
</file>