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94503" w14:textId="77777777" w:rsidR="009774D1" w:rsidRPr="00137657" w:rsidRDefault="009774D1" w:rsidP="009774D1">
      <w:pPr>
        <w:pStyle w:val="1"/>
        <w:spacing w:before="120" w:after="120" w:line="240" w:lineRule="auto"/>
        <w:jc w:val="center"/>
        <w:rPr>
          <w:rFonts w:ascii="Times New Roman" w:eastAsia="Calibri" w:hAnsi="Times New Roman" w:cs="Times New Roman"/>
          <w:b/>
          <w:bCs/>
          <w:color w:val="auto"/>
          <w:position w:val="-1"/>
          <w:sz w:val="28"/>
          <w:szCs w:val="28"/>
        </w:rPr>
      </w:pPr>
      <w:r w:rsidRPr="00137657">
        <w:rPr>
          <w:rFonts w:ascii="Times New Roman" w:hAnsi="Times New Roman" w:cs="Times New Roman"/>
          <w:b/>
          <w:bCs/>
          <w:color w:val="auto"/>
          <w:sz w:val="28"/>
          <w:szCs w:val="28"/>
        </w:rPr>
        <w:t>ПОЯСНЮВАЛЬНА ЗАПИСКА</w:t>
      </w:r>
      <w:r w:rsidRPr="00137657">
        <w:rPr>
          <w:rFonts w:ascii="Times New Roman" w:hAnsi="Times New Roman" w:cs="Times New Roman"/>
          <w:b/>
          <w:bCs/>
          <w:color w:val="auto"/>
          <w:sz w:val="28"/>
          <w:szCs w:val="28"/>
        </w:rPr>
        <w:br/>
        <w:t>до проекту постанови Кабінету Міністрів України «Про внесення змін до деяких постанов Кабінету Міністрів України</w:t>
      </w:r>
      <w:r w:rsidRPr="00137657">
        <w:rPr>
          <w:rFonts w:ascii="Times New Roman" w:eastAsia="Calibri" w:hAnsi="Times New Roman" w:cs="Times New Roman"/>
          <w:b/>
          <w:bCs/>
          <w:color w:val="auto"/>
          <w:position w:val="-1"/>
          <w:sz w:val="28"/>
          <w:szCs w:val="28"/>
        </w:rPr>
        <w:t>»</w:t>
      </w:r>
    </w:p>
    <w:p w14:paraId="37934103" w14:textId="05C49DBD" w:rsidR="00EB7EB9" w:rsidRPr="00137657" w:rsidRDefault="00EB7EB9" w:rsidP="009D4A06">
      <w:pPr>
        <w:pStyle w:val="2"/>
        <w:spacing w:before="120" w:after="120" w:line="276" w:lineRule="auto"/>
        <w:ind w:firstLine="709"/>
        <w:jc w:val="both"/>
        <w:rPr>
          <w:rFonts w:eastAsia="Times New Roman"/>
          <w:sz w:val="28"/>
          <w:szCs w:val="28"/>
        </w:rPr>
      </w:pPr>
      <w:r w:rsidRPr="00137657">
        <w:rPr>
          <w:rFonts w:eastAsia="Times New Roman"/>
          <w:sz w:val="28"/>
          <w:szCs w:val="28"/>
        </w:rPr>
        <w:t>1. Мета</w:t>
      </w:r>
    </w:p>
    <w:p w14:paraId="40FF2019" w14:textId="1D505C0A" w:rsidR="00EB7EB9" w:rsidRPr="00137657" w:rsidRDefault="000A735E" w:rsidP="00245048">
      <w:pPr>
        <w:spacing w:before="120" w:after="120" w:line="240" w:lineRule="auto"/>
        <w:ind w:firstLine="709"/>
        <w:jc w:val="both"/>
        <w:rPr>
          <w:rFonts w:ascii="Times New Roman" w:eastAsia="Times New Roman" w:hAnsi="Times New Roman" w:cs="Times New Roman"/>
          <w:b/>
          <w:sz w:val="28"/>
          <w:szCs w:val="28"/>
        </w:rPr>
      </w:pPr>
      <w:bookmarkStart w:id="0" w:name="bookmark=id.30j0zll" w:colFirst="0" w:colLast="0"/>
      <w:bookmarkStart w:id="1" w:name="_heading=h.1fob9te" w:colFirst="0" w:colLast="0"/>
      <w:bookmarkEnd w:id="0"/>
      <w:bookmarkEnd w:id="1"/>
      <w:r w:rsidRPr="00137657">
        <w:rPr>
          <w:rFonts w:ascii="Times New Roman" w:eastAsia="Times New Roman" w:hAnsi="Times New Roman" w:cs="Times New Roman"/>
          <w:sz w:val="28"/>
          <w:szCs w:val="28"/>
        </w:rPr>
        <w:t xml:space="preserve">Метою </w:t>
      </w:r>
      <w:r w:rsidR="008172C9" w:rsidRPr="00137657">
        <w:rPr>
          <w:rFonts w:ascii="Times New Roman" w:eastAsia="Times New Roman" w:hAnsi="Times New Roman" w:cs="Times New Roman"/>
          <w:sz w:val="28"/>
          <w:szCs w:val="28"/>
        </w:rPr>
        <w:t>проекту</w:t>
      </w:r>
      <w:r w:rsidR="00EB7EB9" w:rsidRPr="00137657">
        <w:rPr>
          <w:rFonts w:ascii="Times New Roman" w:eastAsia="Times New Roman" w:hAnsi="Times New Roman" w:cs="Times New Roman"/>
          <w:sz w:val="28"/>
          <w:szCs w:val="28"/>
        </w:rPr>
        <w:t xml:space="preserve"> </w:t>
      </w:r>
      <w:r w:rsidRPr="00137657">
        <w:rPr>
          <w:rFonts w:ascii="Times New Roman" w:eastAsia="Times New Roman" w:hAnsi="Times New Roman" w:cs="Times New Roman"/>
          <w:sz w:val="28"/>
          <w:szCs w:val="28"/>
        </w:rPr>
        <w:t>акта є</w:t>
      </w:r>
      <w:r w:rsidR="00EB7EB9" w:rsidRPr="00137657">
        <w:rPr>
          <w:rFonts w:ascii="Times New Roman" w:eastAsia="Times New Roman" w:hAnsi="Times New Roman" w:cs="Times New Roman"/>
          <w:sz w:val="28"/>
          <w:szCs w:val="28"/>
        </w:rPr>
        <w:t xml:space="preserve"> </w:t>
      </w:r>
      <w:r w:rsidR="00CD7C9E" w:rsidRPr="00137657">
        <w:rPr>
          <w:rFonts w:ascii="Times New Roman" w:eastAsia="Times New Roman" w:hAnsi="Times New Roman" w:cs="Times New Roman"/>
          <w:sz w:val="28"/>
          <w:szCs w:val="28"/>
        </w:rPr>
        <w:t>припинення</w:t>
      </w:r>
      <w:r w:rsidR="00810930" w:rsidRPr="00137657">
        <w:rPr>
          <w:rFonts w:ascii="Times New Roman" w:eastAsia="Times New Roman" w:hAnsi="Times New Roman" w:cs="Times New Roman"/>
          <w:sz w:val="28"/>
          <w:szCs w:val="28"/>
        </w:rPr>
        <w:t xml:space="preserve"> </w:t>
      </w:r>
      <w:r w:rsidR="00072F56" w:rsidRPr="00137657">
        <w:rPr>
          <w:rFonts w:ascii="Times New Roman" w:eastAsia="Times New Roman" w:hAnsi="Times New Roman" w:cs="Times New Roman"/>
          <w:sz w:val="28"/>
          <w:szCs w:val="28"/>
        </w:rPr>
        <w:t>не характерного для міністерств</w:t>
      </w:r>
      <w:r w:rsidR="00CD7C9E" w:rsidRPr="00137657">
        <w:rPr>
          <w:rFonts w:ascii="Times New Roman" w:eastAsia="Times New Roman" w:hAnsi="Times New Roman" w:cs="Times New Roman"/>
          <w:sz w:val="28"/>
          <w:szCs w:val="28"/>
        </w:rPr>
        <w:t xml:space="preserve"> </w:t>
      </w:r>
      <w:r w:rsidR="00810930" w:rsidRPr="00137657">
        <w:rPr>
          <w:rFonts w:ascii="Times New Roman" w:eastAsia="Times New Roman" w:hAnsi="Times New Roman" w:cs="Times New Roman"/>
          <w:sz w:val="28"/>
          <w:szCs w:val="28"/>
        </w:rPr>
        <w:t>обов’язк</w:t>
      </w:r>
      <w:r w:rsidR="00CD7C9E" w:rsidRPr="00137657">
        <w:rPr>
          <w:rFonts w:ascii="Times New Roman" w:eastAsia="Times New Roman" w:hAnsi="Times New Roman" w:cs="Times New Roman"/>
          <w:sz w:val="28"/>
          <w:szCs w:val="28"/>
        </w:rPr>
        <w:t>у Міністерства цифрової трансформації України</w:t>
      </w:r>
      <w:r w:rsidR="00810930" w:rsidRPr="00137657">
        <w:rPr>
          <w:rFonts w:ascii="Times New Roman" w:eastAsia="Times New Roman" w:hAnsi="Times New Roman" w:cs="Times New Roman"/>
          <w:sz w:val="28"/>
          <w:szCs w:val="28"/>
        </w:rPr>
        <w:t xml:space="preserve"> щодо </w:t>
      </w:r>
      <w:r w:rsidR="00072F56" w:rsidRPr="00137657">
        <w:rPr>
          <w:rFonts w:ascii="Times New Roman" w:eastAsia="Times New Roman" w:hAnsi="Times New Roman" w:cs="Times New Roman"/>
          <w:sz w:val="28"/>
          <w:szCs w:val="28"/>
        </w:rPr>
        <w:t>прийманн</w:t>
      </w:r>
      <w:r w:rsidR="001C1FCF" w:rsidRPr="00137657">
        <w:rPr>
          <w:rFonts w:ascii="Times New Roman" w:eastAsia="Times New Roman" w:hAnsi="Times New Roman" w:cs="Times New Roman"/>
          <w:sz w:val="28"/>
          <w:szCs w:val="28"/>
        </w:rPr>
        <w:t>я</w:t>
      </w:r>
      <w:r w:rsidR="00072F56" w:rsidRPr="00137657">
        <w:rPr>
          <w:rFonts w:ascii="Times New Roman" w:eastAsia="Times New Roman" w:hAnsi="Times New Roman" w:cs="Times New Roman"/>
          <w:sz w:val="28"/>
          <w:szCs w:val="28"/>
        </w:rPr>
        <w:t xml:space="preserve"> та зберіганн</w:t>
      </w:r>
      <w:r w:rsidR="001C1FCF" w:rsidRPr="00137657">
        <w:rPr>
          <w:rFonts w:ascii="Times New Roman" w:eastAsia="Times New Roman" w:hAnsi="Times New Roman" w:cs="Times New Roman"/>
          <w:sz w:val="28"/>
          <w:szCs w:val="28"/>
        </w:rPr>
        <w:t>я</w:t>
      </w:r>
      <w:r w:rsidR="00072F56" w:rsidRPr="00137657">
        <w:rPr>
          <w:rFonts w:ascii="Times New Roman" w:eastAsia="Times New Roman" w:hAnsi="Times New Roman" w:cs="Times New Roman"/>
          <w:sz w:val="28"/>
          <w:szCs w:val="28"/>
        </w:rPr>
        <w:t xml:space="preserve"> документованої інформації, сформованих сертифікатів (у тому числі посилених, кваліфікованих) відкритих ключів, реєстрів чинних, блокованих та скасованих сертифікатів відкритих ключів у разі припинення діяльності кваліфікованого надавача електронних довірчих послуг (документи)</w:t>
      </w:r>
      <w:r w:rsidR="00185D89" w:rsidRPr="00137657">
        <w:rPr>
          <w:rFonts w:ascii="Times New Roman" w:eastAsia="Times New Roman" w:hAnsi="Times New Roman" w:cs="Times New Roman"/>
          <w:sz w:val="28"/>
          <w:szCs w:val="28"/>
        </w:rPr>
        <w:t xml:space="preserve">, а </w:t>
      </w:r>
      <w:r w:rsidR="00561D9B" w:rsidRPr="00137657">
        <w:rPr>
          <w:rFonts w:ascii="Times New Roman" w:eastAsia="Times New Roman" w:hAnsi="Times New Roman" w:cs="Times New Roman"/>
          <w:sz w:val="28"/>
          <w:szCs w:val="28"/>
        </w:rPr>
        <w:t>та</w:t>
      </w:r>
      <w:r w:rsidR="00185D89" w:rsidRPr="00137657">
        <w:rPr>
          <w:rFonts w:ascii="Times New Roman" w:eastAsia="Times New Roman" w:hAnsi="Times New Roman" w:cs="Times New Roman"/>
          <w:sz w:val="28"/>
          <w:szCs w:val="28"/>
        </w:rPr>
        <w:t>кож</w:t>
      </w:r>
      <w:r w:rsidR="00561D9B" w:rsidRPr="00137657">
        <w:rPr>
          <w:rFonts w:ascii="Times New Roman" w:eastAsia="Times New Roman" w:hAnsi="Times New Roman" w:cs="Times New Roman"/>
          <w:sz w:val="28"/>
          <w:szCs w:val="28"/>
        </w:rPr>
        <w:t xml:space="preserve"> надання можливості Мінцифри встановлювати тарифи за надання центральним засвідчувальним органом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w:t>
      </w:r>
      <w:r w:rsidR="00CD7C9E" w:rsidRPr="00137657">
        <w:rPr>
          <w:rFonts w:ascii="Times New Roman" w:eastAsia="Times New Roman" w:hAnsi="Times New Roman" w:cs="Times New Roman"/>
          <w:sz w:val="28"/>
          <w:szCs w:val="28"/>
        </w:rPr>
        <w:t xml:space="preserve"> шляхом внесення відповідних змін до нормативно-правових актів</w:t>
      </w:r>
      <w:r w:rsidR="00A105F1" w:rsidRPr="00137657">
        <w:rPr>
          <w:rFonts w:ascii="Times New Roman" w:eastAsia="Times New Roman" w:hAnsi="Times New Roman" w:cs="Times New Roman"/>
          <w:sz w:val="28"/>
          <w:szCs w:val="28"/>
        </w:rPr>
        <w:t>, а також узгодження з положеннями Закону України «Про електронні довірчі послуги».</w:t>
      </w:r>
    </w:p>
    <w:p w14:paraId="167F3DDF" w14:textId="77777777" w:rsidR="00EB7EB9" w:rsidRPr="00137657" w:rsidRDefault="00EB7EB9" w:rsidP="009D4A06">
      <w:pPr>
        <w:pStyle w:val="2"/>
        <w:spacing w:before="120" w:after="120" w:line="276" w:lineRule="auto"/>
        <w:ind w:firstLine="709"/>
        <w:jc w:val="left"/>
        <w:rPr>
          <w:rFonts w:eastAsia="Times New Roman"/>
          <w:sz w:val="28"/>
          <w:szCs w:val="28"/>
        </w:rPr>
      </w:pPr>
      <w:r w:rsidRPr="00137657">
        <w:rPr>
          <w:rFonts w:eastAsia="Times New Roman"/>
          <w:sz w:val="28"/>
          <w:szCs w:val="28"/>
        </w:rPr>
        <w:t>2. Обґрунтування необхідності прийняття акта</w:t>
      </w:r>
    </w:p>
    <w:p w14:paraId="7B59938B" w14:textId="7F45E6C2" w:rsidR="004D168E" w:rsidRPr="00137657" w:rsidRDefault="00CD7C9E"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 xml:space="preserve">Відповідно </w:t>
      </w:r>
      <w:r w:rsidR="006570B3" w:rsidRPr="00137657">
        <w:rPr>
          <w:rFonts w:ascii="Times New Roman" w:hAnsi="Times New Roman" w:cs="Times New Roman"/>
          <w:sz w:val="28"/>
          <w:szCs w:val="28"/>
        </w:rPr>
        <w:t>до статті 7 Закону України «Про центральні органи виконавчої влади», основними завданнями міністерства як органу, що забезпечує формування та реалізує державну політику в одній чи декількох сферах, є забезпечення нормативно-правового регулювання; визначення пріоритетних напрямів розвитку; інформування та надання роз</w:t>
      </w:r>
      <w:r w:rsidR="00F87B58" w:rsidRPr="00137657">
        <w:rPr>
          <w:rFonts w:ascii="Times New Roman" w:hAnsi="Times New Roman" w:cs="Times New Roman"/>
          <w:sz w:val="28"/>
          <w:szCs w:val="28"/>
        </w:rPr>
        <w:t>ʼ</w:t>
      </w:r>
      <w:r w:rsidR="006570B3" w:rsidRPr="00137657">
        <w:rPr>
          <w:rFonts w:ascii="Times New Roman" w:hAnsi="Times New Roman" w:cs="Times New Roman"/>
          <w:sz w:val="28"/>
          <w:szCs w:val="28"/>
        </w:rPr>
        <w:t xml:space="preserve">яснень щодо здійснення державної політики; узагальнення практики застосування законодавства, розроблення пропозицій щодо його вдосконалення та внесення в установленому порядку проектів законодавчих актів, актів Президента України, Кабінету Міністрів України на розгляд Президентові України та Кабінету Міністрів України; </w:t>
      </w:r>
      <w:r w:rsidR="00656CD1" w:rsidRPr="00137657">
        <w:rPr>
          <w:rFonts w:ascii="Times New Roman" w:hAnsi="Times New Roman" w:cs="Times New Roman"/>
          <w:sz w:val="28"/>
          <w:szCs w:val="28"/>
        </w:rPr>
        <w:t>з</w:t>
      </w:r>
      <w:r w:rsidR="006570B3" w:rsidRPr="00137657">
        <w:rPr>
          <w:rFonts w:ascii="Times New Roman" w:hAnsi="Times New Roman" w:cs="Times New Roman"/>
          <w:sz w:val="28"/>
          <w:szCs w:val="28"/>
        </w:rPr>
        <w:t>абезпечення здійснення соціального діалогу на галузевому рівні; здійснення інших завдань, визначених законами України.</w:t>
      </w:r>
    </w:p>
    <w:p w14:paraId="5430EDEC" w14:textId="378392BE" w:rsidR="007B633B" w:rsidRPr="00137657" w:rsidRDefault="007B633B"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Згідно</w:t>
      </w:r>
      <w:r w:rsidR="00656CD1" w:rsidRPr="00137657">
        <w:rPr>
          <w:rFonts w:ascii="Times New Roman" w:hAnsi="Times New Roman" w:cs="Times New Roman"/>
          <w:sz w:val="28"/>
          <w:szCs w:val="28"/>
        </w:rPr>
        <w:t xml:space="preserve"> з абзацом чотирнадцятим </w:t>
      </w:r>
      <w:r w:rsidRPr="00137657">
        <w:rPr>
          <w:rFonts w:ascii="Times New Roman" w:hAnsi="Times New Roman" w:cs="Times New Roman"/>
          <w:sz w:val="28"/>
          <w:szCs w:val="28"/>
        </w:rPr>
        <w:t>частини другої статті 7 Закону України «Про електронні довірчі послуги»</w:t>
      </w:r>
      <w:r w:rsidR="00656CD1" w:rsidRPr="00137657">
        <w:rPr>
          <w:rFonts w:ascii="Times New Roman" w:hAnsi="Times New Roman" w:cs="Times New Roman"/>
          <w:sz w:val="28"/>
          <w:szCs w:val="28"/>
        </w:rPr>
        <w:t xml:space="preserve"> </w:t>
      </w:r>
      <w:r w:rsidRPr="00137657">
        <w:rPr>
          <w:rFonts w:ascii="Times New Roman" w:hAnsi="Times New Roman" w:cs="Times New Roman"/>
          <w:sz w:val="28"/>
          <w:szCs w:val="28"/>
        </w:rPr>
        <w:t>до повноважень головного органу у системі центральних органів виконавчої влади, що забезпечує формування та реалізує державну політику у сфері електронних довірчих послуг, належить забезпечення приймання та зберігання документованої інформації, сформованих кваліфікованих сертифікатів відкритих ключів, реєстру чинних, блокованих та скасованих кваліфікованих сертифікатів відкритих ключів у разі припинення діяльності кваліфікованого постачальника електронних довірчих послуг</w:t>
      </w:r>
      <w:r w:rsidR="004C4D05" w:rsidRPr="00137657">
        <w:rPr>
          <w:rFonts w:ascii="Times New Roman" w:hAnsi="Times New Roman" w:cs="Times New Roman"/>
          <w:sz w:val="28"/>
          <w:szCs w:val="28"/>
        </w:rPr>
        <w:t>.</w:t>
      </w:r>
    </w:p>
    <w:p w14:paraId="50674D32" w14:textId="014E615F" w:rsidR="006570B3" w:rsidRPr="00137657" w:rsidRDefault="006570B3"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lastRenderedPageBreak/>
        <w:t>Відповідно до абзац</w:t>
      </w:r>
      <w:r w:rsidR="009C085E" w:rsidRPr="00137657">
        <w:rPr>
          <w:rFonts w:ascii="Times New Roman" w:hAnsi="Times New Roman" w:cs="Times New Roman"/>
          <w:sz w:val="28"/>
          <w:szCs w:val="28"/>
        </w:rPr>
        <w:t>у</w:t>
      </w:r>
      <w:r w:rsidRPr="00137657">
        <w:rPr>
          <w:rFonts w:ascii="Times New Roman" w:hAnsi="Times New Roman" w:cs="Times New Roman"/>
          <w:sz w:val="28"/>
          <w:szCs w:val="28"/>
        </w:rPr>
        <w:t xml:space="preserve"> </w:t>
      </w:r>
      <w:r w:rsidR="009C085E" w:rsidRPr="00137657">
        <w:rPr>
          <w:rFonts w:ascii="Times New Roman" w:hAnsi="Times New Roman" w:cs="Times New Roman"/>
          <w:sz w:val="28"/>
          <w:szCs w:val="28"/>
        </w:rPr>
        <w:t>восьмого та десятого</w:t>
      </w:r>
      <w:r w:rsidRPr="00137657">
        <w:rPr>
          <w:rFonts w:ascii="Times New Roman" w:hAnsi="Times New Roman" w:cs="Times New Roman"/>
          <w:sz w:val="28"/>
          <w:szCs w:val="28"/>
        </w:rPr>
        <w:t xml:space="preserve"> статті 1 Закону України «Про Національний архівний фонд та архівні установи»</w:t>
      </w:r>
      <w:r w:rsidR="009C085E" w:rsidRPr="00137657">
        <w:rPr>
          <w:rFonts w:ascii="Times New Roman" w:hAnsi="Times New Roman" w:cs="Times New Roman"/>
          <w:sz w:val="28"/>
          <w:szCs w:val="28"/>
        </w:rPr>
        <w:t xml:space="preserve"> </w:t>
      </w:r>
      <w:r w:rsidRPr="00137657">
        <w:rPr>
          <w:rFonts w:ascii="Times New Roman" w:hAnsi="Times New Roman" w:cs="Times New Roman"/>
          <w:sz w:val="28"/>
          <w:szCs w:val="28"/>
        </w:rPr>
        <w:t xml:space="preserve">архівна справа </w:t>
      </w:r>
      <w:r w:rsidR="00F87B58" w:rsidRPr="00137657">
        <w:rPr>
          <w:rFonts w:ascii="Times New Roman" w:hAnsi="Times New Roman" w:cs="Times New Roman"/>
          <w:sz w:val="28"/>
          <w:szCs w:val="28"/>
        </w:rPr>
        <w:t>–</w:t>
      </w:r>
      <w:r w:rsidRPr="00137657">
        <w:rPr>
          <w:rFonts w:ascii="Times New Roman" w:hAnsi="Times New Roman" w:cs="Times New Roman"/>
          <w:sz w:val="28"/>
          <w:szCs w:val="28"/>
        </w:rPr>
        <w:t xml:space="preserve"> галузь життєдіяльності суспільства, що охоплює наукові, організаційні, правові, технологічні, економічні та інші питання діяльності юридичних і фізичних осіб, пов’язані із нагромадженням, обліком, зберіганням архівних документів та використанням відомостей, що в них містяться; архівна установа, архів, архівний підрозділ, архівний відділ </w:t>
      </w:r>
      <w:r w:rsidR="00F87B58" w:rsidRPr="00137657">
        <w:rPr>
          <w:rFonts w:ascii="Times New Roman" w:hAnsi="Times New Roman" w:cs="Times New Roman"/>
          <w:sz w:val="28"/>
          <w:szCs w:val="28"/>
        </w:rPr>
        <w:t>–</w:t>
      </w:r>
      <w:r w:rsidRPr="00137657">
        <w:rPr>
          <w:rFonts w:ascii="Times New Roman" w:hAnsi="Times New Roman" w:cs="Times New Roman"/>
          <w:sz w:val="28"/>
          <w:szCs w:val="28"/>
        </w:rPr>
        <w:t xml:space="preserve"> це відповідно установа чи структурний підрозділ, що забезпечує облік і зберігання архівних документів, використання відомостей, що в них містяться, та формування Національного архівного фонду і/або здійснює управління, науково-дослідну та інформаційну діяльність у сфері архівної справи і діловодства.</w:t>
      </w:r>
    </w:p>
    <w:p w14:paraId="1DD61462" w14:textId="2D8B4F34" w:rsidR="00C70B2E" w:rsidRDefault="003E05D2" w:rsidP="002A5007">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 xml:space="preserve">Абзацом другим та третім пункту 4 розділу І Регламенту роботи центрального засвідчувального органу, затвердженого наказом Міністерства цифрової трансформації України від </w:t>
      </w:r>
      <w:r w:rsidR="00BD1B14">
        <w:rPr>
          <w:rFonts w:ascii="Times New Roman" w:hAnsi="Times New Roman" w:cs="Times New Roman"/>
          <w:sz w:val="28"/>
          <w:szCs w:val="28"/>
        </w:rPr>
        <w:t>27</w:t>
      </w:r>
      <w:r w:rsidRPr="00137657">
        <w:rPr>
          <w:rFonts w:ascii="Times New Roman" w:hAnsi="Times New Roman" w:cs="Times New Roman"/>
          <w:sz w:val="28"/>
          <w:szCs w:val="28"/>
        </w:rPr>
        <w:t xml:space="preserve"> </w:t>
      </w:r>
      <w:r w:rsidR="00BD1B14">
        <w:rPr>
          <w:rFonts w:ascii="Times New Roman" w:hAnsi="Times New Roman" w:cs="Times New Roman"/>
          <w:sz w:val="28"/>
          <w:szCs w:val="28"/>
        </w:rPr>
        <w:t>серп</w:t>
      </w:r>
      <w:r w:rsidR="002A5007" w:rsidRPr="00137657">
        <w:rPr>
          <w:rFonts w:ascii="Times New Roman" w:hAnsi="Times New Roman" w:cs="Times New Roman"/>
          <w:sz w:val="28"/>
          <w:szCs w:val="28"/>
        </w:rPr>
        <w:t>н</w:t>
      </w:r>
      <w:r w:rsidRPr="00137657">
        <w:rPr>
          <w:rFonts w:ascii="Times New Roman" w:hAnsi="Times New Roman" w:cs="Times New Roman"/>
          <w:sz w:val="28"/>
          <w:szCs w:val="28"/>
        </w:rPr>
        <w:t xml:space="preserve">я </w:t>
      </w:r>
      <w:r w:rsidR="00D250C6" w:rsidRPr="00137657">
        <w:rPr>
          <w:rFonts w:ascii="Times New Roman" w:hAnsi="Times New Roman" w:cs="Times New Roman"/>
          <w:sz w:val="28"/>
          <w:szCs w:val="28"/>
        </w:rPr>
        <w:t>20</w:t>
      </w:r>
      <w:r w:rsidR="00BD1B14">
        <w:rPr>
          <w:rFonts w:ascii="Times New Roman" w:hAnsi="Times New Roman" w:cs="Times New Roman"/>
          <w:sz w:val="28"/>
          <w:szCs w:val="28"/>
        </w:rPr>
        <w:t>21</w:t>
      </w:r>
      <w:r w:rsidRPr="00137657">
        <w:rPr>
          <w:rFonts w:ascii="Times New Roman" w:hAnsi="Times New Roman" w:cs="Times New Roman"/>
          <w:sz w:val="28"/>
          <w:szCs w:val="28"/>
        </w:rPr>
        <w:t xml:space="preserve"> року № </w:t>
      </w:r>
      <w:r w:rsidR="00BD1B14">
        <w:rPr>
          <w:rFonts w:ascii="Times New Roman" w:hAnsi="Times New Roman" w:cs="Times New Roman"/>
          <w:sz w:val="28"/>
          <w:szCs w:val="28"/>
        </w:rPr>
        <w:t>115</w:t>
      </w:r>
      <w:r w:rsidRPr="00137657">
        <w:rPr>
          <w:rFonts w:ascii="Times New Roman" w:hAnsi="Times New Roman" w:cs="Times New Roman"/>
          <w:sz w:val="28"/>
          <w:szCs w:val="28"/>
        </w:rPr>
        <w:t xml:space="preserve">, зареєстрованого в Міністерстві юстиції України </w:t>
      </w:r>
      <w:r w:rsidR="00BD1B14">
        <w:rPr>
          <w:rFonts w:ascii="Times New Roman" w:hAnsi="Times New Roman" w:cs="Times New Roman"/>
          <w:sz w:val="28"/>
          <w:szCs w:val="28"/>
        </w:rPr>
        <w:t>07</w:t>
      </w:r>
      <w:r w:rsidRPr="00137657">
        <w:rPr>
          <w:rFonts w:ascii="Times New Roman" w:hAnsi="Times New Roman" w:cs="Times New Roman"/>
          <w:sz w:val="28"/>
          <w:szCs w:val="28"/>
        </w:rPr>
        <w:t xml:space="preserve"> </w:t>
      </w:r>
      <w:r w:rsidR="00BD1B14">
        <w:rPr>
          <w:rFonts w:ascii="Times New Roman" w:hAnsi="Times New Roman" w:cs="Times New Roman"/>
          <w:sz w:val="28"/>
          <w:szCs w:val="28"/>
        </w:rPr>
        <w:t>жовт</w:t>
      </w:r>
      <w:r w:rsidRPr="00137657">
        <w:rPr>
          <w:rFonts w:ascii="Times New Roman" w:hAnsi="Times New Roman" w:cs="Times New Roman"/>
          <w:sz w:val="28"/>
          <w:szCs w:val="28"/>
        </w:rPr>
        <w:t>ня 202</w:t>
      </w:r>
      <w:r w:rsidR="00BD1B14">
        <w:rPr>
          <w:rFonts w:ascii="Times New Roman" w:hAnsi="Times New Roman" w:cs="Times New Roman"/>
          <w:sz w:val="28"/>
          <w:szCs w:val="28"/>
        </w:rPr>
        <w:t>1</w:t>
      </w:r>
      <w:r w:rsidRPr="00137657">
        <w:rPr>
          <w:rFonts w:ascii="Times New Roman" w:hAnsi="Times New Roman" w:cs="Times New Roman"/>
          <w:sz w:val="28"/>
          <w:szCs w:val="28"/>
        </w:rPr>
        <w:t xml:space="preserve"> року за № </w:t>
      </w:r>
      <w:r w:rsidR="00BD1B14">
        <w:rPr>
          <w:rFonts w:ascii="Times New Roman" w:hAnsi="Times New Roman" w:cs="Times New Roman"/>
          <w:sz w:val="28"/>
          <w:szCs w:val="28"/>
        </w:rPr>
        <w:t>1313</w:t>
      </w:r>
      <w:r w:rsidR="002A5007" w:rsidRPr="00137657">
        <w:rPr>
          <w:rFonts w:ascii="Times New Roman" w:hAnsi="Times New Roman" w:cs="Times New Roman"/>
          <w:sz w:val="28"/>
          <w:szCs w:val="28"/>
        </w:rPr>
        <w:t>/</w:t>
      </w:r>
      <w:r w:rsidR="00BD1B14">
        <w:rPr>
          <w:rFonts w:ascii="Times New Roman" w:hAnsi="Times New Roman" w:cs="Times New Roman"/>
          <w:sz w:val="28"/>
          <w:szCs w:val="28"/>
        </w:rPr>
        <w:t>36935</w:t>
      </w:r>
      <w:r w:rsidRPr="00137657">
        <w:rPr>
          <w:rFonts w:ascii="Times New Roman" w:hAnsi="Times New Roman" w:cs="Times New Roman"/>
          <w:sz w:val="28"/>
          <w:szCs w:val="28"/>
        </w:rPr>
        <w:t xml:space="preserve"> (далі – Регламент) встановлено, </w:t>
      </w:r>
      <w:r w:rsidR="00C70B2E">
        <w:rPr>
          <w:rFonts w:ascii="Times New Roman" w:hAnsi="Times New Roman" w:cs="Times New Roman"/>
          <w:sz w:val="28"/>
          <w:szCs w:val="28"/>
        </w:rPr>
        <w:t xml:space="preserve">що </w:t>
      </w:r>
      <w:r w:rsidR="00C70B2E" w:rsidRPr="00C70B2E">
        <w:rPr>
          <w:rFonts w:ascii="Times New Roman" w:hAnsi="Times New Roman" w:cs="Times New Roman"/>
          <w:sz w:val="28"/>
          <w:szCs w:val="28"/>
        </w:rPr>
        <w:t>адміністратор інформаційно-телекомунікаційної системи ЦЗО (далі – Адміністратор ІТС ЦЗО) – державне підприємство «ДІЯ» (далі – ДП «ДІЯ»), яке належить до сфери управління головного органу у системі центральних органів виконавчої влади, що забезпечує формування та реалізацію державної політики у сфері електронних довірчих послуг, та здійснює технічне й технологічне забезпечення виконання функцій ЦЗО;</w:t>
      </w:r>
      <w:r w:rsidR="00C70B2E">
        <w:rPr>
          <w:rFonts w:ascii="Times New Roman" w:hAnsi="Times New Roman" w:cs="Times New Roman"/>
          <w:sz w:val="28"/>
          <w:szCs w:val="28"/>
        </w:rPr>
        <w:t xml:space="preserve"> </w:t>
      </w:r>
      <w:r w:rsidR="00C70B2E" w:rsidRPr="00C70B2E">
        <w:rPr>
          <w:rFonts w:ascii="Times New Roman" w:hAnsi="Times New Roman" w:cs="Times New Roman"/>
          <w:sz w:val="28"/>
          <w:szCs w:val="28"/>
        </w:rPr>
        <w:t>інформаційно-телекомунікаційна система ЦЗО (далі – ІТС ЦЗО) – сукупність інформаційних та телекомунікаційних систем ЦЗО, які у процесі обробки інформації діють як єдине ціле та обʼєднують програмно-технічний комплекс, що використовується під час надання послуг (далі – програмно-технічний комплекс), фізичне середовище, інформацію, що обробляється в цих системах, а також найманих працівників ЦЗО, які безпосередньо залучені в наданні послуг або обслуговують програмно-технічний комплекс (далі – наймані працівники)</w:t>
      </w:r>
      <w:r w:rsidR="00C70B2E">
        <w:rPr>
          <w:rFonts w:ascii="Times New Roman" w:hAnsi="Times New Roman" w:cs="Times New Roman"/>
          <w:sz w:val="28"/>
          <w:szCs w:val="28"/>
        </w:rPr>
        <w:t>.</w:t>
      </w:r>
    </w:p>
    <w:p w14:paraId="1D070490" w14:textId="3D20B945" w:rsidR="008A4DE0" w:rsidRPr="00137657" w:rsidRDefault="003E05D2"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 xml:space="preserve">Крім того, відповідно до підпункту 5 пункту 1 глави 4 розділу IV Регламенту, </w:t>
      </w:r>
      <w:r w:rsidR="00743E79" w:rsidRPr="00743E79">
        <w:rPr>
          <w:rFonts w:ascii="Times New Roman" w:hAnsi="Times New Roman" w:cs="Times New Roman"/>
          <w:sz w:val="28"/>
          <w:szCs w:val="28"/>
        </w:rPr>
        <w:t>фізичний доступ до обладнання програмно-технічного комплексу, що забезпечує сертифікацію, управління статусом сертифіката, генерацію ключів ЦЗО, обмежується та надається тільки визначеному колу осіб з-поміж найманих працівників</w:t>
      </w:r>
      <w:bookmarkStart w:id="2" w:name="_GoBack"/>
      <w:bookmarkEnd w:id="2"/>
      <w:r w:rsidR="008A4DE0" w:rsidRPr="00137657">
        <w:rPr>
          <w:rFonts w:ascii="Times New Roman" w:hAnsi="Times New Roman" w:cs="Times New Roman"/>
          <w:sz w:val="28"/>
          <w:szCs w:val="28"/>
        </w:rPr>
        <w:t>.</w:t>
      </w:r>
    </w:p>
    <w:p w14:paraId="7AA65739" w14:textId="571AC33D" w:rsidR="00072F56" w:rsidRPr="00137657" w:rsidRDefault="00072F56"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Наразі в Мінцифр</w:t>
      </w:r>
      <w:r w:rsidR="009C085E" w:rsidRPr="00137657">
        <w:rPr>
          <w:rFonts w:ascii="Times New Roman" w:hAnsi="Times New Roman" w:cs="Times New Roman"/>
          <w:sz w:val="28"/>
          <w:szCs w:val="28"/>
          <w:lang w:val="ru-RU"/>
        </w:rPr>
        <w:t>и</w:t>
      </w:r>
      <w:r w:rsidRPr="00137657">
        <w:rPr>
          <w:rFonts w:ascii="Times New Roman" w:hAnsi="Times New Roman" w:cs="Times New Roman"/>
          <w:sz w:val="28"/>
          <w:szCs w:val="28"/>
        </w:rPr>
        <w:t xml:space="preserve"> зберігаються документи восьми припинених надавачів, крім того в найближчому майбутньому очікується припинення ще одного надавача, який також буде передавати документи на зберігання</w:t>
      </w:r>
      <w:r w:rsidR="00C90CE7" w:rsidRPr="00137657">
        <w:rPr>
          <w:rFonts w:ascii="Times New Roman" w:hAnsi="Times New Roman" w:cs="Times New Roman"/>
          <w:sz w:val="28"/>
          <w:szCs w:val="28"/>
        </w:rPr>
        <w:t>.</w:t>
      </w:r>
    </w:p>
    <w:p w14:paraId="6869B073" w14:textId="77777777" w:rsidR="00F55582" w:rsidRPr="00137657" w:rsidRDefault="00072F56"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Крім того, у Мінцифри відсутні ресурси, а саме відповідні приміщення, які відповідали б необхідним стандартам та вимогам у сфері архівної справи</w:t>
      </w:r>
      <w:r w:rsidR="001170CF" w:rsidRPr="00137657">
        <w:rPr>
          <w:rFonts w:ascii="Times New Roman" w:hAnsi="Times New Roman" w:cs="Times New Roman"/>
          <w:sz w:val="28"/>
          <w:szCs w:val="28"/>
        </w:rPr>
        <w:t xml:space="preserve">, спостерігається дефіцит наявних приміщень для виконання співробітниками Мінцифри обов’язків характерних для Міністерства. </w:t>
      </w:r>
    </w:p>
    <w:p w14:paraId="078AE5C7" w14:textId="032166FA" w:rsidR="001170CF" w:rsidRPr="00137657" w:rsidRDefault="001170CF"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Враховуючи вищевикладене, а також той факт, що технічне й технологічне забезпечення виконання функцій ЦЗО здійсню</w:t>
      </w:r>
      <w:r w:rsidR="00F65CE4" w:rsidRPr="00137657">
        <w:rPr>
          <w:rFonts w:ascii="Times New Roman" w:hAnsi="Times New Roman" w:cs="Times New Roman"/>
          <w:sz w:val="28"/>
          <w:szCs w:val="28"/>
        </w:rPr>
        <w:t>ється</w:t>
      </w:r>
      <w:r w:rsidRPr="00137657">
        <w:rPr>
          <w:rFonts w:ascii="Times New Roman" w:hAnsi="Times New Roman" w:cs="Times New Roman"/>
          <w:sz w:val="28"/>
          <w:szCs w:val="28"/>
        </w:rPr>
        <w:t xml:space="preserve"> Адміністратором ІТС ЦЗО,</w:t>
      </w:r>
      <w:r w:rsidR="008A4DE0" w:rsidRPr="00137657">
        <w:rPr>
          <w:rFonts w:ascii="Times New Roman" w:hAnsi="Times New Roman" w:cs="Times New Roman"/>
          <w:sz w:val="28"/>
          <w:szCs w:val="28"/>
        </w:rPr>
        <w:t xml:space="preserve"> </w:t>
      </w:r>
      <w:r w:rsidR="008A4DE0" w:rsidRPr="00137657">
        <w:rPr>
          <w:rFonts w:ascii="Times New Roman" w:hAnsi="Times New Roman" w:cs="Times New Roman"/>
          <w:sz w:val="28"/>
          <w:szCs w:val="28"/>
        </w:rPr>
        <w:lastRenderedPageBreak/>
        <w:t>а також те, що</w:t>
      </w:r>
      <w:r w:rsidR="00F65CE4" w:rsidRPr="00137657">
        <w:rPr>
          <w:rFonts w:ascii="Times New Roman" w:hAnsi="Times New Roman" w:cs="Times New Roman"/>
          <w:sz w:val="28"/>
          <w:szCs w:val="28"/>
        </w:rPr>
        <w:t xml:space="preserve"> інформація яка міститься в</w:t>
      </w:r>
      <w:r w:rsidR="008A4DE0" w:rsidRPr="00137657">
        <w:rPr>
          <w:rFonts w:ascii="Times New Roman" w:hAnsi="Times New Roman" w:cs="Times New Roman"/>
          <w:sz w:val="28"/>
          <w:szCs w:val="28"/>
        </w:rPr>
        <w:t xml:space="preserve"> </w:t>
      </w:r>
      <w:r w:rsidR="00A9059D" w:rsidRPr="00137657">
        <w:rPr>
          <w:rFonts w:ascii="Times New Roman" w:hAnsi="Times New Roman" w:cs="Times New Roman"/>
          <w:sz w:val="28"/>
          <w:szCs w:val="28"/>
        </w:rPr>
        <w:t>програмно-технічн</w:t>
      </w:r>
      <w:r w:rsidR="00F65CE4" w:rsidRPr="00137657">
        <w:rPr>
          <w:rFonts w:ascii="Times New Roman" w:hAnsi="Times New Roman" w:cs="Times New Roman"/>
          <w:sz w:val="28"/>
          <w:szCs w:val="28"/>
        </w:rPr>
        <w:t>ому</w:t>
      </w:r>
      <w:r w:rsidR="00A9059D" w:rsidRPr="00137657">
        <w:rPr>
          <w:rFonts w:ascii="Times New Roman" w:hAnsi="Times New Roman" w:cs="Times New Roman"/>
          <w:sz w:val="28"/>
          <w:szCs w:val="28"/>
        </w:rPr>
        <w:t xml:space="preserve"> комплекс</w:t>
      </w:r>
      <w:r w:rsidR="005856D2" w:rsidRPr="00137657">
        <w:rPr>
          <w:rFonts w:ascii="Times New Roman" w:hAnsi="Times New Roman" w:cs="Times New Roman"/>
          <w:sz w:val="28"/>
          <w:szCs w:val="28"/>
        </w:rPr>
        <w:t>і</w:t>
      </w:r>
      <w:r w:rsidR="00A9059D" w:rsidRPr="00137657">
        <w:rPr>
          <w:rFonts w:ascii="Times New Roman" w:hAnsi="Times New Roman" w:cs="Times New Roman"/>
          <w:sz w:val="28"/>
          <w:szCs w:val="28"/>
        </w:rPr>
        <w:t xml:space="preserve"> Ц</w:t>
      </w:r>
      <w:r w:rsidR="00F65CE4" w:rsidRPr="00137657">
        <w:rPr>
          <w:rFonts w:ascii="Times New Roman" w:hAnsi="Times New Roman" w:cs="Times New Roman"/>
          <w:sz w:val="28"/>
          <w:szCs w:val="28"/>
        </w:rPr>
        <w:t>ЗО є пов’язаною з документовано</w:t>
      </w:r>
      <w:r w:rsidR="001B676B" w:rsidRPr="00137657">
        <w:rPr>
          <w:rFonts w:ascii="Times New Roman" w:hAnsi="Times New Roman" w:cs="Times New Roman"/>
          <w:sz w:val="28"/>
          <w:szCs w:val="28"/>
        </w:rPr>
        <w:t>ю</w:t>
      </w:r>
      <w:r w:rsidR="00F65CE4" w:rsidRPr="00137657">
        <w:rPr>
          <w:rFonts w:ascii="Times New Roman" w:hAnsi="Times New Roman" w:cs="Times New Roman"/>
          <w:sz w:val="28"/>
          <w:szCs w:val="28"/>
        </w:rPr>
        <w:t xml:space="preserve"> інформаці</w:t>
      </w:r>
      <w:r w:rsidR="001B676B" w:rsidRPr="00137657">
        <w:rPr>
          <w:rFonts w:ascii="Times New Roman" w:hAnsi="Times New Roman" w:cs="Times New Roman"/>
          <w:sz w:val="28"/>
          <w:szCs w:val="28"/>
        </w:rPr>
        <w:t>єю</w:t>
      </w:r>
      <w:r w:rsidR="0063145C" w:rsidRPr="00137657">
        <w:rPr>
          <w:rFonts w:ascii="Times New Roman" w:hAnsi="Times New Roman" w:cs="Times New Roman"/>
          <w:sz w:val="28"/>
          <w:szCs w:val="28"/>
        </w:rPr>
        <w:t>, що передається до ЦЗО</w:t>
      </w:r>
      <w:r w:rsidR="00F65CE4" w:rsidRPr="00137657">
        <w:rPr>
          <w:rFonts w:ascii="Times New Roman" w:hAnsi="Times New Roman" w:cs="Times New Roman"/>
          <w:sz w:val="28"/>
          <w:szCs w:val="28"/>
        </w:rPr>
        <w:t xml:space="preserve"> у разі припинення діяльності кваліфікованого надавача електронних довірчих послуг</w:t>
      </w:r>
      <w:r w:rsidR="001B676B" w:rsidRPr="00137657">
        <w:rPr>
          <w:rFonts w:ascii="Times New Roman" w:hAnsi="Times New Roman" w:cs="Times New Roman"/>
          <w:sz w:val="28"/>
          <w:szCs w:val="28"/>
        </w:rPr>
        <w:t xml:space="preserve"> </w:t>
      </w:r>
      <w:r w:rsidRPr="00137657">
        <w:rPr>
          <w:rFonts w:ascii="Times New Roman" w:hAnsi="Times New Roman" w:cs="Times New Roman"/>
          <w:sz w:val="28"/>
          <w:szCs w:val="28"/>
        </w:rPr>
        <w:t xml:space="preserve">таке зберігання має здійснюватись </w:t>
      </w:r>
      <w:r w:rsidR="001B676B" w:rsidRPr="00137657">
        <w:rPr>
          <w:rFonts w:ascii="Times New Roman" w:hAnsi="Times New Roman" w:cs="Times New Roman"/>
          <w:sz w:val="28"/>
          <w:szCs w:val="28"/>
        </w:rPr>
        <w:t>Адміністратором ІТС ЦЗО</w:t>
      </w:r>
      <w:r w:rsidRPr="00137657">
        <w:rPr>
          <w:rFonts w:ascii="Times New Roman" w:hAnsi="Times New Roman" w:cs="Times New Roman"/>
          <w:sz w:val="28"/>
          <w:szCs w:val="28"/>
        </w:rPr>
        <w:t xml:space="preserve">. </w:t>
      </w:r>
    </w:p>
    <w:p w14:paraId="00550E57" w14:textId="77777777" w:rsidR="00A105F1" w:rsidRPr="00137657" w:rsidRDefault="00A105F1"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Також відповідно до частини першої статті 5 Закону України «Про ціни та ціноутворення» Кабінет Міністрів України забезпечує проведення державної цінової політики; здійснює державне регулювання цін, визначає повноваження органів виконавчої влади щодо формування, встановлення та застосування цін, якщо інше не визначено законом або міжнародним договором України, згода на обов’язковість якого надана Верховною Радою України; визначає перелік товарів, державні регульовані ціни на які затверджуються відповідними органами виконавчої влади, якщо інше не визначено законом.</w:t>
      </w:r>
    </w:p>
    <w:p w14:paraId="5A13D4BA" w14:textId="77777777" w:rsidR="00A105F1" w:rsidRPr="00137657" w:rsidRDefault="00A105F1"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Разом з тим центральний засвідчувальний орган надає кваліфіковану електронну довірчу послугу формування, перевірки та підтвердження чинності кваліфікованого сертифіката електронного підпису чи печатки безоплатно для органів державної влади, місцевого самоврядування, інших юридичних осіб публічного права (стаття 29 Закону України «Про електронні довірчі послуги»).</w:t>
      </w:r>
    </w:p>
    <w:p w14:paraId="45D4DB75" w14:textId="77777777" w:rsidR="00A105F1" w:rsidRPr="00137657" w:rsidRDefault="00A105F1"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На даний момент центральний засвідчувальний орган надає безоплатно кваліфіковану електронну довірчу послугу формування, перевірки та підтвердження чинності кваліфікованого сертифіката електронного підпису чи печатки для юридичних осіб приватного права, що є порушенням вимог статті 29 зазначеного Закону.</w:t>
      </w:r>
    </w:p>
    <w:p w14:paraId="3AD48F51" w14:textId="69C707BC" w:rsidR="001170CF" w:rsidRPr="00137657" w:rsidRDefault="00A105F1" w:rsidP="00E434F6">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З огляду на зазначене прийняття акта надасть можливість Міністерству цифрової трансформації України встановлювати тарифи за надання центральним засвідчувальним органом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 та виконати вимоги законодавства у сфері електронних довірчих послуг.</w:t>
      </w:r>
    </w:p>
    <w:p w14:paraId="22A1EE85" w14:textId="7B51A962" w:rsidR="00EB7EB9" w:rsidRPr="00137657" w:rsidRDefault="00EB7EB9" w:rsidP="005B483E">
      <w:pPr>
        <w:pStyle w:val="2"/>
        <w:spacing w:before="120" w:after="120"/>
        <w:ind w:firstLine="709"/>
        <w:jc w:val="left"/>
        <w:rPr>
          <w:rFonts w:eastAsia="Times New Roman"/>
          <w:sz w:val="28"/>
          <w:szCs w:val="28"/>
        </w:rPr>
      </w:pPr>
      <w:bookmarkStart w:id="3" w:name="bookmark=id.tyjcwt" w:colFirst="0" w:colLast="0"/>
      <w:bookmarkEnd w:id="3"/>
      <w:r w:rsidRPr="00137657">
        <w:rPr>
          <w:rFonts w:eastAsia="Times New Roman"/>
          <w:sz w:val="28"/>
          <w:szCs w:val="28"/>
        </w:rPr>
        <w:t xml:space="preserve">3. Основні положення </w:t>
      </w:r>
      <w:r w:rsidR="00AC0290" w:rsidRPr="00137657">
        <w:rPr>
          <w:rFonts w:eastAsia="Times New Roman"/>
          <w:sz w:val="28"/>
          <w:szCs w:val="28"/>
        </w:rPr>
        <w:t>проекту</w:t>
      </w:r>
      <w:r w:rsidRPr="00137657">
        <w:rPr>
          <w:rFonts w:eastAsia="Times New Roman"/>
          <w:sz w:val="28"/>
          <w:szCs w:val="28"/>
        </w:rPr>
        <w:t xml:space="preserve"> акта</w:t>
      </w:r>
    </w:p>
    <w:p w14:paraId="2BEF9D3D" w14:textId="540C2E8B" w:rsidR="00A770C5" w:rsidRPr="00137657" w:rsidRDefault="00AC0290" w:rsidP="00E434F6">
      <w:pPr>
        <w:tabs>
          <w:tab w:val="left" w:pos="4275"/>
        </w:tabs>
        <w:spacing w:after="120" w:line="240" w:lineRule="auto"/>
        <w:ind w:firstLine="709"/>
        <w:jc w:val="both"/>
        <w:rPr>
          <w:rFonts w:ascii="Times New Roman" w:eastAsia="Times New Roman" w:hAnsi="Times New Roman" w:cs="Times New Roman"/>
          <w:sz w:val="28"/>
          <w:szCs w:val="28"/>
        </w:rPr>
      </w:pPr>
      <w:bookmarkStart w:id="4" w:name="bookmark=id.3dy6vkm" w:colFirst="0" w:colLast="0"/>
      <w:bookmarkEnd w:id="4"/>
      <w:r w:rsidRPr="00137657">
        <w:rPr>
          <w:rFonts w:ascii="Times New Roman" w:eastAsia="Times New Roman" w:hAnsi="Times New Roman" w:cs="Times New Roman"/>
          <w:sz w:val="28"/>
          <w:szCs w:val="28"/>
        </w:rPr>
        <w:t>Проектом</w:t>
      </w:r>
      <w:r w:rsidR="00EB7EB9" w:rsidRPr="00137657">
        <w:rPr>
          <w:rFonts w:ascii="Times New Roman" w:eastAsia="Times New Roman" w:hAnsi="Times New Roman" w:cs="Times New Roman"/>
          <w:sz w:val="28"/>
          <w:szCs w:val="28"/>
        </w:rPr>
        <w:t xml:space="preserve"> </w:t>
      </w:r>
      <w:r w:rsidR="009D479C" w:rsidRPr="00137657">
        <w:rPr>
          <w:rFonts w:ascii="Times New Roman" w:eastAsia="Times New Roman" w:hAnsi="Times New Roman" w:cs="Times New Roman"/>
          <w:sz w:val="28"/>
          <w:szCs w:val="28"/>
        </w:rPr>
        <w:t>акта затверджуються</w:t>
      </w:r>
      <w:r w:rsidR="00464963" w:rsidRPr="00137657">
        <w:rPr>
          <w:rFonts w:ascii="Times New Roman" w:eastAsia="Times New Roman" w:hAnsi="Times New Roman" w:cs="Times New Roman"/>
          <w:sz w:val="28"/>
          <w:szCs w:val="28"/>
        </w:rPr>
        <w:t xml:space="preserve"> зміни до</w:t>
      </w:r>
      <w:r w:rsidR="000C635E" w:rsidRPr="00137657">
        <w:rPr>
          <w:rFonts w:ascii="Times New Roman" w:eastAsia="Times New Roman" w:hAnsi="Times New Roman" w:cs="Times New Roman"/>
          <w:sz w:val="28"/>
          <w:szCs w:val="28"/>
        </w:rPr>
        <w:t>:</w:t>
      </w:r>
    </w:p>
    <w:p w14:paraId="34FED97D" w14:textId="61770762" w:rsidR="00A770C5" w:rsidRPr="00137657" w:rsidRDefault="00A770C5" w:rsidP="00E434F6">
      <w:pPr>
        <w:tabs>
          <w:tab w:val="left" w:pos="4275"/>
        </w:tabs>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1)</w:t>
      </w:r>
      <w:r w:rsidR="00FF55E0" w:rsidRPr="00137657">
        <w:rPr>
          <w:rFonts w:ascii="Times New Roman" w:eastAsia="Times New Roman" w:hAnsi="Times New Roman" w:cs="Times New Roman"/>
          <w:sz w:val="28"/>
          <w:szCs w:val="28"/>
        </w:rPr>
        <w:t> </w:t>
      </w:r>
      <w:r w:rsidRPr="00137657">
        <w:rPr>
          <w:rFonts w:ascii="Times New Roman" w:eastAsia="Times New Roman" w:hAnsi="Times New Roman" w:cs="Times New Roman"/>
          <w:sz w:val="28"/>
          <w:szCs w:val="28"/>
        </w:rPr>
        <w:t>Додатку до постанови Кабінету Міністрів України від 25 грудня 1996</w:t>
      </w:r>
      <w:r w:rsidR="0062735B" w:rsidRPr="00137657">
        <w:rPr>
          <w:rFonts w:ascii="Times New Roman" w:eastAsia="Times New Roman" w:hAnsi="Times New Roman" w:cs="Times New Roman"/>
          <w:sz w:val="28"/>
          <w:szCs w:val="28"/>
        </w:rPr>
        <w:t> </w:t>
      </w:r>
      <w:r w:rsidRPr="00137657">
        <w:rPr>
          <w:rFonts w:ascii="Times New Roman" w:eastAsia="Times New Roman" w:hAnsi="Times New Roman" w:cs="Times New Roman"/>
          <w:sz w:val="28"/>
          <w:szCs w:val="28"/>
        </w:rPr>
        <w:t>р. № 1548 «Про встановлення повноважень органів виконавчої влади та виконавчих органів міських рад щодо регулювання цін (тарифів)»;</w:t>
      </w:r>
    </w:p>
    <w:p w14:paraId="2FEA714B" w14:textId="2AD1BC30" w:rsidR="00A770C5" w:rsidRPr="00137657" w:rsidRDefault="00A770C5" w:rsidP="00E434F6">
      <w:pPr>
        <w:tabs>
          <w:tab w:val="left" w:pos="4275"/>
        </w:tabs>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2)</w:t>
      </w:r>
      <w:r w:rsidR="00FF55E0" w:rsidRPr="00137657">
        <w:rPr>
          <w:rFonts w:ascii="Times New Roman" w:eastAsia="Times New Roman" w:hAnsi="Times New Roman" w:cs="Times New Roman"/>
          <w:sz w:val="28"/>
          <w:szCs w:val="28"/>
        </w:rPr>
        <w:t> </w:t>
      </w:r>
      <w:r w:rsidRPr="00137657">
        <w:rPr>
          <w:rFonts w:ascii="Times New Roman" w:eastAsia="Times New Roman" w:hAnsi="Times New Roman" w:cs="Times New Roman"/>
          <w:sz w:val="28"/>
          <w:szCs w:val="28"/>
        </w:rPr>
        <w:t>Вимог у сфері електронних довірчих послуг, затверджен</w:t>
      </w:r>
      <w:r w:rsidR="00CE0DF2" w:rsidRPr="00137657">
        <w:rPr>
          <w:rFonts w:ascii="Times New Roman" w:eastAsia="Times New Roman" w:hAnsi="Times New Roman" w:cs="Times New Roman"/>
          <w:sz w:val="28"/>
          <w:szCs w:val="28"/>
          <w:lang w:val="ru-RU"/>
        </w:rPr>
        <w:t>их</w:t>
      </w:r>
      <w:r w:rsidRPr="00137657">
        <w:rPr>
          <w:rFonts w:ascii="Times New Roman" w:eastAsia="Times New Roman" w:hAnsi="Times New Roman" w:cs="Times New Roman"/>
          <w:sz w:val="28"/>
          <w:szCs w:val="28"/>
        </w:rPr>
        <w:t xml:space="preserve"> постановою Кабінету Міністрів України від 7 листопада 2018 р. № 992</w:t>
      </w:r>
      <w:r w:rsidR="00F6570F" w:rsidRPr="00137657">
        <w:rPr>
          <w:rFonts w:ascii="Times New Roman" w:eastAsia="Times New Roman" w:hAnsi="Times New Roman" w:cs="Times New Roman"/>
          <w:sz w:val="28"/>
          <w:szCs w:val="28"/>
        </w:rPr>
        <w:t>;</w:t>
      </w:r>
    </w:p>
    <w:p w14:paraId="6683E1A2" w14:textId="0F54DB00" w:rsidR="00A770C5" w:rsidRPr="00137657" w:rsidRDefault="00A770C5" w:rsidP="00E434F6">
      <w:pPr>
        <w:tabs>
          <w:tab w:val="left" w:pos="1134"/>
          <w:tab w:val="left" w:pos="4275"/>
        </w:tabs>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3)</w:t>
      </w:r>
      <w:r w:rsidR="00FF55E0" w:rsidRPr="00137657">
        <w:rPr>
          <w:rFonts w:ascii="Times New Roman" w:eastAsia="Times New Roman" w:hAnsi="Times New Roman" w:cs="Times New Roman"/>
          <w:sz w:val="28"/>
          <w:szCs w:val="28"/>
        </w:rPr>
        <w:t> </w:t>
      </w:r>
      <w:r w:rsidR="00FC1877" w:rsidRPr="00137657">
        <w:rPr>
          <w:rFonts w:ascii="Times New Roman" w:eastAsia="Times New Roman" w:hAnsi="Times New Roman" w:cs="Times New Roman"/>
          <w:sz w:val="28"/>
          <w:szCs w:val="28"/>
        </w:rPr>
        <w:t>Порядку зберігання документованої інформації та її передавання центральному засвідчувальному органу в разі припинення діяльності кваліфікованого надавача електронних довірчих послуг, затвердженого постановою Кабінету Міністрів України від 10 жовтня 2018 р</w:t>
      </w:r>
      <w:r w:rsidR="00F6570F" w:rsidRPr="00137657">
        <w:rPr>
          <w:rFonts w:ascii="Times New Roman" w:eastAsia="Times New Roman" w:hAnsi="Times New Roman" w:cs="Times New Roman"/>
          <w:sz w:val="28"/>
          <w:szCs w:val="28"/>
        </w:rPr>
        <w:t>.</w:t>
      </w:r>
      <w:r w:rsidR="00FC1877" w:rsidRPr="00137657">
        <w:rPr>
          <w:rFonts w:ascii="Times New Roman" w:eastAsia="Times New Roman" w:hAnsi="Times New Roman" w:cs="Times New Roman"/>
          <w:sz w:val="28"/>
          <w:szCs w:val="28"/>
        </w:rPr>
        <w:t xml:space="preserve"> № 821</w:t>
      </w:r>
      <w:r w:rsidR="00F6570F" w:rsidRPr="00137657">
        <w:rPr>
          <w:rFonts w:ascii="Times New Roman" w:eastAsia="Times New Roman" w:hAnsi="Times New Roman" w:cs="Times New Roman"/>
          <w:sz w:val="28"/>
          <w:szCs w:val="28"/>
        </w:rPr>
        <w:t>;</w:t>
      </w:r>
    </w:p>
    <w:p w14:paraId="3243C181" w14:textId="6526B7C1" w:rsidR="00245048" w:rsidRPr="00137657" w:rsidRDefault="00A770C5" w:rsidP="00E434F6">
      <w:pPr>
        <w:tabs>
          <w:tab w:val="left" w:pos="851"/>
          <w:tab w:val="left" w:pos="4275"/>
        </w:tabs>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lastRenderedPageBreak/>
        <w:t>4)</w:t>
      </w:r>
      <w:r w:rsidR="00FF55E0" w:rsidRPr="00137657">
        <w:rPr>
          <w:rFonts w:ascii="Times New Roman" w:eastAsia="Times New Roman" w:hAnsi="Times New Roman" w:cs="Times New Roman"/>
          <w:sz w:val="28"/>
          <w:szCs w:val="28"/>
        </w:rPr>
        <w:t> </w:t>
      </w:r>
      <w:r w:rsidRPr="00137657">
        <w:rPr>
          <w:rFonts w:ascii="Times New Roman" w:eastAsia="Times New Roman" w:hAnsi="Times New Roman" w:cs="Times New Roman"/>
          <w:sz w:val="28"/>
          <w:szCs w:val="28"/>
        </w:rPr>
        <w:t>Положення про Міністерство цифрової трансформації України, затверджен</w:t>
      </w:r>
      <w:r w:rsidR="00CE0DF2" w:rsidRPr="00137657">
        <w:rPr>
          <w:rFonts w:ascii="Times New Roman" w:eastAsia="Times New Roman" w:hAnsi="Times New Roman" w:cs="Times New Roman"/>
          <w:sz w:val="28"/>
          <w:szCs w:val="28"/>
        </w:rPr>
        <w:t>ого</w:t>
      </w:r>
      <w:r w:rsidRPr="00137657">
        <w:rPr>
          <w:rFonts w:ascii="Times New Roman" w:eastAsia="Times New Roman" w:hAnsi="Times New Roman" w:cs="Times New Roman"/>
          <w:sz w:val="28"/>
          <w:szCs w:val="28"/>
        </w:rPr>
        <w:t xml:space="preserve"> постановою Кабінету Міністрів України від 18 вересня 2019 р. </w:t>
      </w:r>
      <w:r w:rsidRPr="00137657">
        <w:rPr>
          <w:rFonts w:ascii="Times New Roman" w:eastAsia="Times New Roman" w:hAnsi="Times New Roman" w:cs="Times New Roman"/>
          <w:sz w:val="28"/>
          <w:szCs w:val="28"/>
        </w:rPr>
        <w:br/>
        <w:t>№ 856 «Питання Міністерства цифрової трансформації»</w:t>
      </w:r>
      <w:bookmarkStart w:id="5" w:name="bookmark=id.1t3h5sf"/>
      <w:bookmarkEnd w:id="5"/>
      <w:r w:rsidRPr="00137657">
        <w:rPr>
          <w:rFonts w:ascii="Times New Roman" w:eastAsia="Times New Roman" w:hAnsi="Times New Roman" w:cs="Times New Roman"/>
          <w:sz w:val="28"/>
          <w:szCs w:val="28"/>
        </w:rPr>
        <w:t>.</w:t>
      </w:r>
    </w:p>
    <w:p w14:paraId="436DB27E" w14:textId="12B94CE1" w:rsidR="003631F1" w:rsidRPr="00137657" w:rsidRDefault="00EB7EB9" w:rsidP="001B32DA">
      <w:pPr>
        <w:tabs>
          <w:tab w:val="left" w:pos="4275"/>
        </w:tabs>
        <w:spacing w:line="240" w:lineRule="auto"/>
        <w:ind w:firstLine="709"/>
        <w:jc w:val="both"/>
        <w:rPr>
          <w:rFonts w:ascii="Times New Roman" w:eastAsia="Times New Roman" w:hAnsi="Times New Roman" w:cs="Times New Roman"/>
          <w:b/>
          <w:bCs/>
          <w:sz w:val="28"/>
          <w:szCs w:val="28"/>
        </w:rPr>
      </w:pPr>
      <w:r w:rsidRPr="00137657">
        <w:rPr>
          <w:rFonts w:ascii="Times New Roman" w:eastAsia="Times New Roman" w:hAnsi="Times New Roman" w:cs="Times New Roman"/>
          <w:b/>
          <w:bCs/>
          <w:sz w:val="28"/>
          <w:szCs w:val="28"/>
        </w:rPr>
        <w:t>4. Правові аспекти</w:t>
      </w:r>
    </w:p>
    <w:p w14:paraId="0B9C883B" w14:textId="4F20F9C9" w:rsidR="00245048" w:rsidRPr="00137657" w:rsidRDefault="00226199" w:rsidP="00245048">
      <w:pPr>
        <w:tabs>
          <w:tab w:val="left" w:pos="4275"/>
        </w:tabs>
        <w:spacing w:after="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Проект акта розроблено з власної ініціативи Мінцифри на виконання завдань, визначених Положенням про Міністерство цифрової трансформації України, затвердженим постановою Кабінету Міністрів України від 18 вересня 2019 р. № 856 «Питання Міністерства цифрової трансформації»</w:t>
      </w:r>
      <w:r w:rsidR="00365D17" w:rsidRPr="00137657">
        <w:rPr>
          <w:rFonts w:ascii="Times New Roman" w:eastAsia="Times New Roman" w:hAnsi="Times New Roman" w:cs="Times New Roman"/>
          <w:sz w:val="28"/>
          <w:szCs w:val="28"/>
        </w:rPr>
        <w:t>, статті 29 Закону України «Про електронні довірчі послуги».</w:t>
      </w:r>
    </w:p>
    <w:p w14:paraId="2CA42680" w14:textId="77777777" w:rsidR="00A50F62" w:rsidRPr="00137657" w:rsidRDefault="00A50F62" w:rsidP="00245048">
      <w:pPr>
        <w:tabs>
          <w:tab w:val="left" w:pos="4275"/>
        </w:tabs>
        <w:spacing w:after="0" w:line="240" w:lineRule="auto"/>
        <w:ind w:firstLine="709"/>
        <w:jc w:val="both"/>
        <w:rPr>
          <w:rFonts w:ascii="Times New Roman" w:eastAsia="Times New Roman" w:hAnsi="Times New Roman" w:cs="Times New Roman"/>
          <w:b/>
          <w:bCs/>
          <w:sz w:val="28"/>
          <w:szCs w:val="28"/>
        </w:rPr>
      </w:pPr>
    </w:p>
    <w:p w14:paraId="6496A51F" w14:textId="1DD36538" w:rsidR="003631F1" w:rsidRPr="00137657" w:rsidRDefault="00EB7EB9" w:rsidP="001B32DA">
      <w:pPr>
        <w:tabs>
          <w:tab w:val="left" w:pos="4275"/>
        </w:tabs>
        <w:spacing w:line="240" w:lineRule="auto"/>
        <w:ind w:firstLine="709"/>
        <w:jc w:val="both"/>
        <w:rPr>
          <w:rFonts w:ascii="Times New Roman" w:eastAsia="Times New Roman" w:hAnsi="Times New Roman" w:cs="Times New Roman"/>
          <w:b/>
          <w:bCs/>
          <w:sz w:val="28"/>
          <w:szCs w:val="28"/>
        </w:rPr>
      </w:pPr>
      <w:r w:rsidRPr="00137657">
        <w:rPr>
          <w:rFonts w:ascii="Times New Roman" w:eastAsia="Times New Roman" w:hAnsi="Times New Roman" w:cs="Times New Roman"/>
          <w:b/>
          <w:bCs/>
          <w:sz w:val="28"/>
          <w:szCs w:val="28"/>
        </w:rPr>
        <w:t>5. Фінансово-економічне обґрунтування</w:t>
      </w:r>
      <w:bookmarkStart w:id="6" w:name="bookmark=id.4d34og8" w:colFirst="0" w:colLast="0"/>
      <w:bookmarkStart w:id="7" w:name="bookmark=id.2s8eyo1" w:colFirst="0" w:colLast="0"/>
      <w:bookmarkEnd w:id="6"/>
      <w:bookmarkEnd w:id="7"/>
    </w:p>
    <w:p w14:paraId="484BCFBF" w14:textId="4A507BFA" w:rsidR="008C3A48" w:rsidRPr="00137657" w:rsidRDefault="00226199" w:rsidP="001B32DA">
      <w:pPr>
        <w:tabs>
          <w:tab w:val="left" w:pos="4275"/>
        </w:tabs>
        <w:spacing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Реалізація проекту акта не матиме впливу на надходження та витрати державного та/або місцевого бюджетів та не потребує додаткового фінансування з державного чи місцевого бюджетів.</w:t>
      </w:r>
    </w:p>
    <w:p w14:paraId="5ABF74AE" w14:textId="51DEE464" w:rsidR="003631F1" w:rsidRPr="00137657" w:rsidRDefault="00E96FDD" w:rsidP="001B32DA">
      <w:pPr>
        <w:tabs>
          <w:tab w:val="left" w:pos="4275"/>
        </w:tabs>
        <w:spacing w:line="240" w:lineRule="auto"/>
        <w:ind w:firstLine="709"/>
        <w:jc w:val="both"/>
        <w:rPr>
          <w:rFonts w:ascii="Times New Roman" w:eastAsia="Times New Roman" w:hAnsi="Times New Roman" w:cs="Times New Roman"/>
          <w:b/>
          <w:bCs/>
          <w:sz w:val="28"/>
          <w:szCs w:val="28"/>
        </w:rPr>
      </w:pPr>
      <w:r w:rsidRPr="00137657">
        <w:rPr>
          <w:rFonts w:ascii="Times New Roman" w:eastAsia="Times New Roman" w:hAnsi="Times New Roman" w:cs="Times New Roman"/>
          <w:b/>
          <w:bCs/>
          <w:sz w:val="28"/>
          <w:szCs w:val="28"/>
        </w:rPr>
        <w:t>6. Позиція заінтересованих сторін</w:t>
      </w:r>
    </w:p>
    <w:p w14:paraId="0E267CE8" w14:textId="75928D32" w:rsidR="00837189" w:rsidRPr="00137657" w:rsidRDefault="00837189" w:rsidP="00965929">
      <w:pPr>
        <w:pStyle w:val="HTML"/>
        <w:shd w:val="clear" w:color="auto" w:fill="FFFFFF"/>
        <w:spacing w:after="60"/>
        <w:ind w:firstLine="709"/>
        <w:jc w:val="both"/>
        <w:textAlignment w:val="baseline"/>
        <w:rPr>
          <w:rFonts w:ascii="Times New Roman" w:hAnsi="Times New Roman"/>
          <w:sz w:val="28"/>
          <w:szCs w:val="28"/>
          <w:lang w:val="uk-UA"/>
        </w:rPr>
      </w:pPr>
      <w:r w:rsidRPr="00137657">
        <w:rPr>
          <w:rFonts w:ascii="Times New Roman" w:hAnsi="Times New Roman"/>
          <w:sz w:val="28"/>
          <w:szCs w:val="28"/>
          <w:lang w:val="uk-UA"/>
        </w:rPr>
        <w:t>Проект акта стосується суб’єктів господарювання та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03 листопада 2010 року № 996 «Про забезпечення участі громадськості у формуванні та реалізації державної політики» (Офіційний вісник України, 2010 р., № 84, ст. 2945).</w:t>
      </w:r>
    </w:p>
    <w:p w14:paraId="67E87E4D" w14:textId="77777777" w:rsidR="006E5C5E" w:rsidRPr="00137657" w:rsidRDefault="006E5C5E" w:rsidP="006E5C5E">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Проект акта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w:t>
      </w:r>
    </w:p>
    <w:p w14:paraId="5D424A2E" w14:textId="77777777" w:rsidR="006E5C5E" w:rsidRPr="00137657" w:rsidRDefault="006E5C5E" w:rsidP="006E5C5E">
      <w:pPr>
        <w:spacing w:after="120" w:line="240" w:lineRule="auto"/>
        <w:ind w:firstLine="709"/>
        <w:jc w:val="both"/>
        <w:rPr>
          <w:rFonts w:ascii="Times New Roman" w:hAnsi="Times New Roman" w:cs="Times New Roman"/>
          <w:sz w:val="28"/>
          <w:szCs w:val="28"/>
        </w:rPr>
      </w:pPr>
      <w:r w:rsidRPr="00137657">
        <w:rPr>
          <w:rFonts w:ascii="Times New Roman" w:hAnsi="Times New Roman" w:cs="Times New Roman"/>
          <w:sz w:val="28"/>
          <w:szCs w:val="28"/>
        </w:rPr>
        <w:t>Проект акта не стосується сфери наукової та науково-технічної діяльності.</w:t>
      </w:r>
    </w:p>
    <w:p w14:paraId="137C7EF3" w14:textId="0E3BD96E" w:rsidR="00EB7EB9" w:rsidRPr="00137657" w:rsidRDefault="00E96FDD" w:rsidP="00AC0290">
      <w:pPr>
        <w:pStyle w:val="2"/>
        <w:spacing w:before="120" w:after="120" w:line="276" w:lineRule="auto"/>
        <w:ind w:firstLine="709"/>
        <w:jc w:val="both"/>
        <w:rPr>
          <w:rFonts w:eastAsia="Times New Roman" w:cs="Times New Roman"/>
          <w:sz w:val="28"/>
          <w:szCs w:val="28"/>
        </w:rPr>
      </w:pPr>
      <w:r w:rsidRPr="00137657">
        <w:rPr>
          <w:rFonts w:eastAsia="Times New Roman"/>
          <w:sz w:val="28"/>
          <w:szCs w:val="28"/>
        </w:rPr>
        <w:t>7</w:t>
      </w:r>
      <w:r w:rsidR="00EB7EB9" w:rsidRPr="00137657">
        <w:rPr>
          <w:rFonts w:eastAsia="Times New Roman"/>
          <w:sz w:val="28"/>
          <w:szCs w:val="28"/>
        </w:rPr>
        <w:t>. Оцінка відповідності</w:t>
      </w:r>
    </w:p>
    <w:p w14:paraId="37E77294" w14:textId="538DD859" w:rsidR="007F5D15" w:rsidRPr="00137657" w:rsidRDefault="00AC0290" w:rsidP="00E434F6">
      <w:pPr>
        <w:spacing w:after="120" w:line="240" w:lineRule="auto"/>
        <w:ind w:firstLine="709"/>
        <w:jc w:val="both"/>
        <w:rPr>
          <w:rFonts w:ascii="Times New Roman" w:eastAsia="Times New Roman" w:hAnsi="Times New Roman" w:cs="Times New Roman"/>
          <w:sz w:val="28"/>
          <w:szCs w:val="28"/>
        </w:rPr>
      </w:pPr>
      <w:bookmarkStart w:id="8" w:name="bookmark=id.3rdcrjn" w:colFirst="0" w:colLast="0"/>
      <w:bookmarkEnd w:id="8"/>
      <w:r w:rsidRPr="00137657">
        <w:rPr>
          <w:rFonts w:ascii="Times New Roman" w:eastAsia="Times New Roman" w:hAnsi="Times New Roman" w:cs="Times New Roman"/>
          <w:sz w:val="28"/>
          <w:szCs w:val="28"/>
        </w:rPr>
        <w:t>Проект</w:t>
      </w:r>
      <w:r w:rsidR="007F5D15" w:rsidRPr="00137657">
        <w:rPr>
          <w:rFonts w:ascii="Times New Roman" w:eastAsia="Times New Roman" w:hAnsi="Times New Roman" w:cs="Times New Roman"/>
          <w:sz w:val="28"/>
          <w:szCs w:val="28"/>
        </w:rPr>
        <w:t xml:space="preserve"> </w:t>
      </w:r>
      <w:r w:rsidR="00776271" w:rsidRPr="00137657">
        <w:rPr>
          <w:rFonts w:ascii="Times New Roman" w:eastAsia="Times New Roman" w:hAnsi="Times New Roman" w:cs="Times New Roman"/>
          <w:sz w:val="28"/>
          <w:szCs w:val="28"/>
        </w:rPr>
        <w:t>акта</w:t>
      </w:r>
      <w:r w:rsidR="007F5D15" w:rsidRPr="00137657">
        <w:rPr>
          <w:rFonts w:ascii="Times New Roman" w:eastAsia="Times New Roman" w:hAnsi="Times New Roman" w:cs="Times New Roman"/>
          <w:sz w:val="28"/>
          <w:szCs w:val="28"/>
        </w:rPr>
        <w:t xml:space="preserve"> не містить норм, що стосуються зобов’язань України у сфері європейської інтеграції.</w:t>
      </w:r>
    </w:p>
    <w:p w14:paraId="45237115" w14:textId="2A73B956" w:rsidR="007F5D15" w:rsidRPr="00137657" w:rsidRDefault="00AC0290" w:rsidP="00E434F6">
      <w:pPr>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Проект</w:t>
      </w:r>
      <w:r w:rsidR="00776271" w:rsidRPr="00137657">
        <w:rPr>
          <w:rFonts w:ascii="Times New Roman" w:eastAsia="Times New Roman" w:hAnsi="Times New Roman" w:cs="Times New Roman"/>
          <w:sz w:val="28"/>
          <w:szCs w:val="28"/>
          <w:lang w:val="ru-RU"/>
        </w:rPr>
        <w:t xml:space="preserve"> акта </w:t>
      </w:r>
      <w:r w:rsidR="007F5D15" w:rsidRPr="00137657">
        <w:rPr>
          <w:rFonts w:ascii="Times New Roman" w:eastAsia="Times New Roman" w:hAnsi="Times New Roman" w:cs="Times New Roman"/>
          <w:sz w:val="28"/>
          <w:szCs w:val="28"/>
        </w:rPr>
        <w:t>не містить норм, що порушують права та свободи, гарантовані Конвенцією про захист прав людини і основоположних свобод 1950 року.</w:t>
      </w:r>
    </w:p>
    <w:p w14:paraId="7BB5F9E2" w14:textId="5A7882B9" w:rsidR="007F5D15" w:rsidRPr="00137657" w:rsidRDefault="007F5D15" w:rsidP="00E434F6">
      <w:pPr>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 xml:space="preserve">У </w:t>
      </w:r>
      <w:r w:rsidR="00AC0290" w:rsidRPr="00137657">
        <w:rPr>
          <w:rFonts w:ascii="Times New Roman" w:eastAsia="Times New Roman" w:hAnsi="Times New Roman" w:cs="Times New Roman"/>
          <w:sz w:val="28"/>
          <w:szCs w:val="28"/>
        </w:rPr>
        <w:t>проекті</w:t>
      </w:r>
      <w:r w:rsidRPr="00137657">
        <w:rPr>
          <w:rFonts w:ascii="Times New Roman" w:eastAsia="Times New Roman" w:hAnsi="Times New Roman" w:cs="Times New Roman"/>
          <w:sz w:val="28"/>
          <w:szCs w:val="28"/>
        </w:rPr>
        <w:t xml:space="preserve"> </w:t>
      </w:r>
      <w:r w:rsidR="00A50AC8" w:rsidRPr="00137657">
        <w:rPr>
          <w:rFonts w:ascii="Times New Roman" w:eastAsia="Times New Roman" w:hAnsi="Times New Roman" w:cs="Times New Roman"/>
          <w:sz w:val="28"/>
          <w:szCs w:val="28"/>
          <w:lang w:val="ru-RU"/>
        </w:rPr>
        <w:t>акта</w:t>
      </w:r>
      <w:r w:rsidRPr="00137657">
        <w:rPr>
          <w:rFonts w:ascii="Times New Roman" w:eastAsia="Times New Roman" w:hAnsi="Times New Roman" w:cs="Times New Roman"/>
          <w:sz w:val="28"/>
          <w:szCs w:val="28"/>
        </w:rPr>
        <w:t xml:space="preserve"> відсутні положення, які порушують принцип забезпечення рівних прав та можливостей жінок та чоловіків.</w:t>
      </w:r>
    </w:p>
    <w:p w14:paraId="7E2693D8" w14:textId="3724FEFD" w:rsidR="00116CA3" w:rsidRPr="00137657" w:rsidRDefault="00116CA3" w:rsidP="00116CA3">
      <w:pPr>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 xml:space="preserve">У проекті </w:t>
      </w:r>
      <w:r w:rsidR="00A50AC8" w:rsidRPr="00137657">
        <w:rPr>
          <w:rFonts w:ascii="Times New Roman" w:eastAsia="Times New Roman" w:hAnsi="Times New Roman" w:cs="Times New Roman"/>
          <w:sz w:val="28"/>
          <w:szCs w:val="28"/>
          <w:lang w:val="ru-RU"/>
        </w:rPr>
        <w:t>акта</w:t>
      </w:r>
      <w:r w:rsidRPr="00137657">
        <w:rPr>
          <w:rFonts w:ascii="Times New Roman" w:eastAsia="Times New Roman" w:hAnsi="Times New Roman" w:cs="Times New Roman"/>
          <w:sz w:val="28"/>
          <w:szCs w:val="28"/>
        </w:rPr>
        <w:t xml:space="preserve"> відсутні положення, які містять ризики вчинення корупційних правопорушень та правопорушень, пов’язаних з корупцією.</w:t>
      </w:r>
    </w:p>
    <w:p w14:paraId="304A5A5C" w14:textId="47DF2D92" w:rsidR="007F5D15" w:rsidRPr="00137657" w:rsidRDefault="007F5D15" w:rsidP="00E434F6">
      <w:pPr>
        <w:spacing w:after="120" w:line="240" w:lineRule="auto"/>
        <w:ind w:firstLine="709"/>
        <w:jc w:val="both"/>
        <w:rPr>
          <w:rFonts w:ascii="Times New Roman" w:eastAsia="Times New Roman" w:hAnsi="Times New Roman" w:cs="Times New Roman"/>
          <w:sz w:val="28"/>
          <w:szCs w:val="28"/>
        </w:rPr>
      </w:pPr>
      <w:r w:rsidRPr="00137657">
        <w:rPr>
          <w:rFonts w:ascii="Times New Roman" w:eastAsia="Times New Roman" w:hAnsi="Times New Roman" w:cs="Times New Roman"/>
          <w:sz w:val="28"/>
          <w:szCs w:val="28"/>
        </w:rPr>
        <w:t xml:space="preserve">У </w:t>
      </w:r>
      <w:r w:rsidR="00AC0290" w:rsidRPr="00137657">
        <w:rPr>
          <w:rFonts w:ascii="Times New Roman" w:eastAsia="Times New Roman" w:hAnsi="Times New Roman" w:cs="Times New Roman"/>
          <w:sz w:val="28"/>
          <w:szCs w:val="28"/>
        </w:rPr>
        <w:t>проекті</w:t>
      </w:r>
      <w:r w:rsidRPr="00137657">
        <w:rPr>
          <w:rFonts w:ascii="Times New Roman" w:eastAsia="Times New Roman" w:hAnsi="Times New Roman" w:cs="Times New Roman"/>
          <w:sz w:val="28"/>
          <w:szCs w:val="28"/>
        </w:rPr>
        <w:t xml:space="preserve"> </w:t>
      </w:r>
      <w:r w:rsidR="00A50AC8" w:rsidRPr="00137657">
        <w:rPr>
          <w:rFonts w:ascii="Times New Roman" w:eastAsia="Times New Roman" w:hAnsi="Times New Roman" w:cs="Times New Roman"/>
          <w:sz w:val="28"/>
          <w:szCs w:val="28"/>
          <w:lang w:val="ru-RU"/>
        </w:rPr>
        <w:t xml:space="preserve">акта </w:t>
      </w:r>
      <w:r w:rsidRPr="00137657">
        <w:rPr>
          <w:rFonts w:ascii="Times New Roman" w:eastAsia="Times New Roman" w:hAnsi="Times New Roman" w:cs="Times New Roman"/>
          <w:sz w:val="28"/>
          <w:szCs w:val="28"/>
        </w:rPr>
        <w:t>відсутні положення, що містять ознаки дискримінації чи створюють підстави для дискримінації.</w:t>
      </w:r>
    </w:p>
    <w:p w14:paraId="32598B37" w14:textId="0E7C3C00" w:rsidR="00EB7EB9" w:rsidRPr="00137657" w:rsidRDefault="00E96FDD" w:rsidP="009D4A06">
      <w:pPr>
        <w:pStyle w:val="2"/>
        <w:spacing w:before="120" w:after="120" w:line="276" w:lineRule="auto"/>
        <w:ind w:firstLine="709"/>
        <w:jc w:val="both"/>
        <w:rPr>
          <w:rFonts w:eastAsia="Times New Roman"/>
          <w:sz w:val="28"/>
          <w:szCs w:val="28"/>
        </w:rPr>
      </w:pPr>
      <w:r w:rsidRPr="00137657">
        <w:rPr>
          <w:rFonts w:eastAsia="Times New Roman"/>
          <w:sz w:val="28"/>
          <w:szCs w:val="28"/>
        </w:rPr>
        <w:lastRenderedPageBreak/>
        <w:t>8</w:t>
      </w:r>
      <w:r w:rsidR="00EB7EB9" w:rsidRPr="00137657">
        <w:rPr>
          <w:rFonts w:eastAsia="Times New Roman"/>
          <w:sz w:val="28"/>
          <w:szCs w:val="28"/>
        </w:rPr>
        <w:t>. Прогноз результатів</w:t>
      </w:r>
    </w:p>
    <w:p w14:paraId="23F3377C" w14:textId="35CD0C4D" w:rsidR="00B62C4F" w:rsidRPr="00137657" w:rsidRDefault="00AC0290" w:rsidP="00E434F6">
      <w:pPr>
        <w:spacing w:after="120" w:line="240" w:lineRule="auto"/>
        <w:ind w:firstLine="709"/>
        <w:jc w:val="both"/>
        <w:rPr>
          <w:rFonts w:ascii="Times New Roman" w:hAnsi="Times New Roman" w:cs="Times New Roman"/>
          <w:sz w:val="28"/>
          <w:szCs w:val="28"/>
        </w:rPr>
      </w:pPr>
      <w:r w:rsidRPr="00137657">
        <w:rPr>
          <w:rFonts w:ascii="Times New Roman" w:eastAsia="Times New Roman" w:hAnsi="Times New Roman" w:cs="Times New Roman"/>
          <w:sz w:val="28"/>
          <w:szCs w:val="28"/>
        </w:rPr>
        <w:t>Проект</w:t>
      </w:r>
      <w:r w:rsidR="00EB7EB9" w:rsidRPr="00137657">
        <w:rPr>
          <w:rFonts w:ascii="Times New Roman" w:eastAsia="Times New Roman" w:hAnsi="Times New Roman" w:cs="Times New Roman"/>
          <w:sz w:val="28"/>
          <w:szCs w:val="28"/>
        </w:rPr>
        <w:t xml:space="preserve"> </w:t>
      </w:r>
      <w:r w:rsidR="000308BC" w:rsidRPr="00137657">
        <w:rPr>
          <w:rFonts w:ascii="Times New Roman" w:eastAsia="Times New Roman" w:hAnsi="Times New Roman" w:cs="Times New Roman"/>
          <w:sz w:val="28"/>
          <w:szCs w:val="28"/>
        </w:rPr>
        <w:t>акта</w:t>
      </w:r>
      <w:r w:rsidR="00EB7EB9" w:rsidRPr="00137657">
        <w:rPr>
          <w:rFonts w:ascii="Times New Roman" w:eastAsia="Times New Roman" w:hAnsi="Times New Roman" w:cs="Times New Roman"/>
          <w:sz w:val="28"/>
          <w:szCs w:val="28"/>
        </w:rPr>
        <w:t xml:space="preserve"> матиме вплив на ринкове середовище, </w:t>
      </w:r>
      <w:r w:rsidR="00EB7EB9" w:rsidRPr="00137657">
        <w:rPr>
          <w:rStyle w:val="fontstyle01"/>
          <w:color w:val="auto"/>
        </w:rPr>
        <w:t xml:space="preserve">забезпечення захисту прав та інтересів суб’єктів господарювання; </w:t>
      </w:r>
      <w:r w:rsidR="000308BC" w:rsidRPr="00137657">
        <w:rPr>
          <w:rFonts w:ascii="Times New Roman" w:eastAsia="Times New Roman" w:hAnsi="Times New Roman" w:cs="Times New Roman"/>
          <w:sz w:val="28"/>
          <w:szCs w:val="28"/>
        </w:rPr>
        <w:t>розвиток регіонів; підвищення чи зниження спроможності територіальних громад;</w:t>
      </w:r>
      <w:r w:rsidR="000308BC" w:rsidRPr="00137657">
        <w:rPr>
          <w:rStyle w:val="fontstyle01"/>
          <w:color w:val="auto"/>
        </w:rPr>
        <w:t xml:space="preserve"> </w:t>
      </w:r>
      <w:r w:rsidR="00EB7EB9" w:rsidRPr="00137657">
        <w:rPr>
          <w:rStyle w:val="fontstyle01"/>
          <w:color w:val="auto"/>
        </w:rPr>
        <w:t>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7A6724B" w14:textId="4C62B74B" w:rsidR="00254467" w:rsidRPr="00137657" w:rsidRDefault="00EB7EB9" w:rsidP="00E434F6">
      <w:pPr>
        <w:spacing w:after="120" w:line="240" w:lineRule="auto"/>
        <w:ind w:firstLine="708"/>
        <w:jc w:val="both"/>
        <w:rPr>
          <w:rStyle w:val="fontstyle01"/>
          <w:color w:val="auto"/>
        </w:rPr>
      </w:pPr>
      <w:r w:rsidRPr="00137657">
        <w:rPr>
          <w:rFonts w:ascii="Times New Roman" w:eastAsia="Times New Roman" w:hAnsi="Times New Roman" w:cs="Times New Roman"/>
          <w:sz w:val="28"/>
          <w:szCs w:val="28"/>
        </w:rPr>
        <w:t>Про</w:t>
      </w:r>
      <w:r w:rsidR="00AC0290" w:rsidRPr="00137657">
        <w:rPr>
          <w:rFonts w:ascii="Times New Roman" w:eastAsia="Times New Roman" w:hAnsi="Times New Roman" w:cs="Times New Roman"/>
          <w:sz w:val="28"/>
          <w:szCs w:val="28"/>
        </w:rPr>
        <w:t>е</w:t>
      </w:r>
      <w:r w:rsidRPr="00137657">
        <w:rPr>
          <w:rFonts w:ascii="Times New Roman" w:eastAsia="Times New Roman" w:hAnsi="Times New Roman" w:cs="Times New Roman"/>
          <w:sz w:val="28"/>
          <w:szCs w:val="28"/>
        </w:rPr>
        <w:t xml:space="preserve">кт </w:t>
      </w:r>
      <w:r w:rsidR="000308BC" w:rsidRPr="00137657">
        <w:rPr>
          <w:rFonts w:ascii="Times New Roman" w:eastAsia="Times New Roman" w:hAnsi="Times New Roman" w:cs="Times New Roman"/>
          <w:sz w:val="28"/>
          <w:szCs w:val="28"/>
        </w:rPr>
        <w:t>акта</w:t>
      </w:r>
      <w:r w:rsidRPr="00137657">
        <w:rPr>
          <w:rFonts w:ascii="Times New Roman" w:eastAsia="Times New Roman" w:hAnsi="Times New Roman" w:cs="Times New Roman"/>
          <w:sz w:val="28"/>
          <w:szCs w:val="28"/>
        </w:rPr>
        <w:t xml:space="preserve"> матиме вплив </w:t>
      </w:r>
      <w:r w:rsidR="000308BC" w:rsidRPr="00137657">
        <w:rPr>
          <w:rFonts w:ascii="Times New Roman" w:eastAsia="Times New Roman" w:hAnsi="Times New Roman" w:cs="Times New Roman"/>
          <w:sz w:val="28"/>
          <w:szCs w:val="28"/>
        </w:rPr>
        <w:t>на</w:t>
      </w:r>
      <w:r w:rsidR="003F3665" w:rsidRPr="00137657">
        <w:rPr>
          <w:rFonts w:ascii="Times New Roman" w:eastAsia="Times New Roman" w:hAnsi="Times New Roman" w:cs="Times New Roman"/>
          <w:sz w:val="28"/>
          <w:szCs w:val="28"/>
        </w:rPr>
        <w:t xml:space="preserve"> </w:t>
      </w:r>
      <w:r w:rsidR="00EB57C7" w:rsidRPr="00137657">
        <w:rPr>
          <w:rStyle w:val="fontstyle01"/>
          <w:color w:val="auto"/>
        </w:rPr>
        <w:t>Міністерство цифрової трансформації України</w:t>
      </w:r>
      <w:r w:rsidR="00915CFC" w:rsidRPr="00137657">
        <w:rPr>
          <w:rStyle w:val="fontstyle01"/>
          <w:color w:val="auto"/>
        </w:rPr>
        <w:t>,</w:t>
      </w:r>
      <w:r w:rsidR="00EB57C7" w:rsidRPr="00137657">
        <w:rPr>
          <w:rStyle w:val="fontstyle01"/>
          <w:color w:val="auto"/>
        </w:rPr>
        <w:t xml:space="preserve"> </w:t>
      </w:r>
      <w:r w:rsidR="00EB57C7" w:rsidRPr="00137657">
        <w:rPr>
          <w:rFonts w:ascii="Times New Roman" w:hAnsi="Times New Roman" w:cs="Times New Roman"/>
          <w:sz w:val="28"/>
          <w:szCs w:val="28"/>
        </w:rPr>
        <w:t>Адміністратора ІТС ЦЗО</w:t>
      </w:r>
      <w:r w:rsidR="00915CFC" w:rsidRPr="00137657">
        <w:rPr>
          <w:rFonts w:ascii="Times New Roman" w:hAnsi="Times New Roman" w:cs="Times New Roman"/>
          <w:sz w:val="28"/>
          <w:szCs w:val="28"/>
        </w:rPr>
        <w:t xml:space="preserve">, </w:t>
      </w:r>
      <w:r w:rsidR="00915CFC" w:rsidRPr="00137657">
        <w:rPr>
          <w:rFonts w:ascii="Times New Roman" w:eastAsia="Times New Roman" w:hAnsi="Times New Roman" w:cs="Times New Roman"/>
          <w:sz w:val="28"/>
          <w:szCs w:val="28"/>
        </w:rPr>
        <w:t xml:space="preserve">кваліфікованих </w:t>
      </w:r>
      <w:r w:rsidR="00915CFC" w:rsidRPr="00137657">
        <w:rPr>
          <w:rStyle w:val="fontstyle01"/>
          <w:color w:val="auto"/>
        </w:rPr>
        <w:t>надавачів електронних довірчих послуг та державу</w:t>
      </w:r>
      <w:r w:rsidR="000308BC" w:rsidRPr="00137657">
        <w:rPr>
          <w:rStyle w:val="fontstyle01"/>
          <w:color w:val="auto"/>
        </w:rPr>
        <w:t>:</w:t>
      </w:r>
    </w:p>
    <w:p w14:paraId="5DA06EB2" w14:textId="77777777" w:rsidR="00AC0290" w:rsidRPr="00137657" w:rsidRDefault="00AC0290" w:rsidP="009D4A06">
      <w:pPr>
        <w:spacing w:after="0"/>
        <w:ind w:firstLine="708"/>
        <w:jc w:val="both"/>
        <w:rPr>
          <w:rStyle w:val="fontstyle01"/>
          <w:color w:val="auto"/>
        </w:rPr>
      </w:pPr>
    </w:p>
    <w:tbl>
      <w:tblPr>
        <w:tblStyle w:val="a3"/>
        <w:tblW w:w="0" w:type="auto"/>
        <w:tblLook w:val="04A0" w:firstRow="1" w:lastRow="0" w:firstColumn="1" w:lastColumn="0" w:noHBand="0" w:noVBand="1"/>
      </w:tblPr>
      <w:tblGrid>
        <w:gridCol w:w="1886"/>
        <w:gridCol w:w="2359"/>
        <w:gridCol w:w="5238"/>
      </w:tblGrid>
      <w:tr w:rsidR="00E347C6" w:rsidRPr="00137657" w14:paraId="424E8DB2" w14:textId="77777777" w:rsidTr="008C3A48">
        <w:tc>
          <w:tcPr>
            <w:tcW w:w="1838" w:type="dxa"/>
          </w:tcPr>
          <w:p w14:paraId="0BA93D63" w14:textId="77777777" w:rsidR="003F3665" w:rsidRPr="00137657" w:rsidRDefault="003F3665" w:rsidP="00252E6D">
            <w:pPr>
              <w:pStyle w:val="aa"/>
              <w:shd w:val="clear" w:color="auto" w:fill="auto"/>
              <w:ind w:firstLine="0"/>
              <w:jc w:val="center"/>
              <w:rPr>
                <w:noProof/>
                <w:sz w:val="26"/>
                <w:szCs w:val="26"/>
                <w:lang w:val="uk-UA"/>
              </w:rPr>
            </w:pPr>
            <w:bookmarkStart w:id="9" w:name="bookmark=id.26in1rg" w:colFirst="0" w:colLast="0"/>
            <w:bookmarkStart w:id="10" w:name="bookmark=id.lnxbz9" w:colFirst="0" w:colLast="0"/>
            <w:bookmarkEnd w:id="9"/>
            <w:bookmarkEnd w:id="10"/>
            <w:r w:rsidRPr="00137657">
              <w:rPr>
                <w:rStyle w:val="rvts0"/>
                <w:sz w:val="26"/>
                <w:szCs w:val="26"/>
                <w:lang w:val="uk-UA"/>
              </w:rPr>
              <w:t>Заінтересована</w:t>
            </w:r>
            <w:r w:rsidRPr="00137657">
              <w:rPr>
                <w:rStyle w:val="rvts13"/>
                <w:sz w:val="26"/>
                <w:szCs w:val="26"/>
                <w:lang w:val="uk-UA"/>
              </w:rPr>
              <w:t xml:space="preserve"> </w:t>
            </w:r>
            <w:r w:rsidRPr="00137657">
              <w:rPr>
                <w:rStyle w:val="rvts0"/>
                <w:sz w:val="26"/>
                <w:szCs w:val="26"/>
                <w:lang w:val="uk-UA"/>
              </w:rPr>
              <w:t>сторона</w:t>
            </w:r>
          </w:p>
        </w:tc>
        <w:tc>
          <w:tcPr>
            <w:tcW w:w="2268" w:type="dxa"/>
          </w:tcPr>
          <w:p w14:paraId="76A4C7B8" w14:textId="77777777" w:rsidR="003F3665" w:rsidRPr="00137657" w:rsidRDefault="003F3665" w:rsidP="00252E6D">
            <w:pPr>
              <w:pStyle w:val="aa"/>
              <w:shd w:val="clear" w:color="auto" w:fill="auto"/>
              <w:ind w:firstLine="0"/>
              <w:jc w:val="center"/>
              <w:rPr>
                <w:noProof/>
                <w:sz w:val="26"/>
                <w:szCs w:val="26"/>
                <w:lang w:val="uk-UA"/>
              </w:rPr>
            </w:pPr>
            <w:r w:rsidRPr="00137657">
              <w:rPr>
                <w:rStyle w:val="rvts0"/>
                <w:sz w:val="26"/>
                <w:szCs w:val="26"/>
                <w:lang w:val="uk-UA"/>
              </w:rPr>
              <w:t>Вплив</w:t>
            </w:r>
            <w:r w:rsidRPr="00137657">
              <w:rPr>
                <w:rStyle w:val="rvts13"/>
                <w:sz w:val="26"/>
                <w:szCs w:val="26"/>
                <w:lang w:val="uk-UA"/>
              </w:rPr>
              <w:t xml:space="preserve"> </w:t>
            </w:r>
            <w:r w:rsidRPr="00137657">
              <w:rPr>
                <w:rStyle w:val="rvts0"/>
                <w:sz w:val="26"/>
                <w:szCs w:val="26"/>
                <w:lang w:val="uk-UA"/>
              </w:rPr>
              <w:t>реалізації</w:t>
            </w:r>
            <w:r w:rsidRPr="00137657">
              <w:rPr>
                <w:rStyle w:val="rvts13"/>
                <w:sz w:val="26"/>
                <w:szCs w:val="26"/>
                <w:lang w:val="uk-UA"/>
              </w:rPr>
              <w:t xml:space="preserve"> </w:t>
            </w:r>
            <w:r w:rsidRPr="00137657">
              <w:rPr>
                <w:rStyle w:val="rvts0"/>
                <w:sz w:val="26"/>
                <w:szCs w:val="26"/>
                <w:lang w:val="uk-UA"/>
              </w:rPr>
              <w:t>акта</w:t>
            </w:r>
            <w:r w:rsidRPr="00137657">
              <w:rPr>
                <w:rStyle w:val="rvts13"/>
                <w:sz w:val="26"/>
                <w:szCs w:val="26"/>
                <w:lang w:val="uk-UA"/>
              </w:rPr>
              <w:t xml:space="preserve"> </w:t>
            </w:r>
            <w:r w:rsidRPr="00137657">
              <w:rPr>
                <w:rStyle w:val="rvts0"/>
                <w:sz w:val="26"/>
                <w:szCs w:val="26"/>
                <w:lang w:val="uk-UA"/>
              </w:rPr>
              <w:t>на</w:t>
            </w:r>
            <w:r w:rsidRPr="00137657">
              <w:rPr>
                <w:rStyle w:val="rvts13"/>
                <w:sz w:val="26"/>
                <w:szCs w:val="26"/>
                <w:lang w:val="uk-UA"/>
              </w:rPr>
              <w:t xml:space="preserve"> </w:t>
            </w:r>
            <w:r w:rsidRPr="00137657">
              <w:rPr>
                <w:rStyle w:val="rvts0"/>
                <w:sz w:val="26"/>
                <w:szCs w:val="26"/>
                <w:lang w:val="uk-UA"/>
              </w:rPr>
              <w:t>заінтересовану</w:t>
            </w:r>
            <w:r w:rsidRPr="00137657">
              <w:rPr>
                <w:rStyle w:val="rvts13"/>
                <w:sz w:val="26"/>
                <w:szCs w:val="26"/>
                <w:lang w:val="uk-UA"/>
              </w:rPr>
              <w:t xml:space="preserve"> </w:t>
            </w:r>
            <w:r w:rsidRPr="00137657">
              <w:rPr>
                <w:rStyle w:val="rvts0"/>
                <w:sz w:val="26"/>
                <w:szCs w:val="26"/>
                <w:lang w:val="uk-UA"/>
              </w:rPr>
              <w:t>сторону</w:t>
            </w:r>
          </w:p>
        </w:tc>
        <w:tc>
          <w:tcPr>
            <w:tcW w:w="5238" w:type="dxa"/>
          </w:tcPr>
          <w:p w14:paraId="2A8EC5FF" w14:textId="77777777" w:rsidR="003F3665" w:rsidRPr="00137657" w:rsidRDefault="003F3665" w:rsidP="00252E6D">
            <w:pPr>
              <w:pStyle w:val="aa"/>
              <w:shd w:val="clear" w:color="auto" w:fill="auto"/>
              <w:ind w:firstLine="0"/>
              <w:jc w:val="center"/>
              <w:rPr>
                <w:noProof/>
                <w:sz w:val="26"/>
                <w:szCs w:val="26"/>
                <w:lang w:val="uk-UA"/>
              </w:rPr>
            </w:pPr>
            <w:r w:rsidRPr="00137657">
              <w:rPr>
                <w:rStyle w:val="rvts0"/>
                <w:sz w:val="26"/>
                <w:szCs w:val="26"/>
                <w:lang w:val="uk-UA"/>
              </w:rPr>
              <w:t>Пояснення</w:t>
            </w:r>
            <w:r w:rsidRPr="00137657">
              <w:rPr>
                <w:rStyle w:val="rvts13"/>
                <w:sz w:val="26"/>
                <w:szCs w:val="26"/>
                <w:lang w:val="uk-UA"/>
              </w:rPr>
              <w:t xml:space="preserve"> </w:t>
            </w:r>
            <w:r w:rsidRPr="00137657">
              <w:rPr>
                <w:rStyle w:val="rvts0"/>
                <w:sz w:val="26"/>
                <w:szCs w:val="26"/>
                <w:lang w:val="uk-UA"/>
              </w:rPr>
              <w:t>очікуваного</w:t>
            </w:r>
            <w:r w:rsidRPr="00137657">
              <w:rPr>
                <w:rStyle w:val="rvts13"/>
                <w:sz w:val="26"/>
                <w:szCs w:val="26"/>
                <w:lang w:val="uk-UA"/>
              </w:rPr>
              <w:t xml:space="preserve"> </w:t>
            </w:r>
            <w:r w:rsidRPr="00137657">
              <w:rPr>
                <w:rStyle w:val="rvts0"/>
                <w:sz w:val="26"/>
                <w:szCs w:val="26"/>
                <w:lang w:val="uk-UA"/>
              </w:rPr>
              <w:t>впливу</w:t>
            </w:r>
          </w:p>
        </w:tc>
      </w:tr>
      <w:tr w:rsidR="00E347C6" w:rsidRPr="00137657" w14:paraId="6BE01FE2" w14:textId="77777777" w:rsidTr="008C3A48">
        <w:tc>
          <w:tcPr>
            <w:tcW w:w="1838" w:type="dxa"/>
          </w:tcPr>
          <w:p w14:paraId="5A9EB922" w14:textId="533B0570" w:rsidR="003F3665" w:rsidRPr="00137657" w:rsidRDefault="00EB57C7" w:rsidP="00252E6D">
            <w:pPr>
              <w:pStyle w:val="aa"/>
              <w:shd w:val="clear" w:color="auto" w:fill="auto"/>
              <w:ind w:firstLine="0"/>
              <w:jc w:val="center"/>
              <w:rPr>
                <w:noProof/>
                <w:sz w:val="26"/>
                <w:szCs w:val="26"/>
                <w:lang w:val="uk-UA"/>
              </w:rPr>
            </w:pPr>
            <w:r w:rsidRPr="00137657">
              <w:rPr>
                <w:sz w:val="26"/>
                <w:szCs w:val="26"/>
                <w:lang w:val="uk-UA"/>
              </w:rPr>
              <w:t>Міністерство цифрової трансформації України</w:t>
            </w:r>
          </w:p>
        </w:tc>
        <w:tc>
          <w:tcPr>
            <w:tcW w:w="2268" w:type="dxa"/>
          </w:tcPr>
          <w:p w14:paraId="16313488" w14:textId="1A5D5426" w:rsidR="003F3665" w:rsidRPr="00137657" w:rsidRDefault="00EB57C7" w:rsidP="00252E6D">
            <w:pPr>
              <w:pStyle w:val="aa"/>
              <w:shd w:val="clear" w:color="auto" w:fill="auto"/>
              <w:ind w:firstLine="0"/>
              <w:jc w:val="center"/>
              <w:rPr>
                <w:noProof/>
                <w:sz w:val="26"/>
                <w:szCs w:val="26"/>
                <w:lang w:val="uk-UA"/>
              </w:rPr>
            </w:pPr>
            <w:r w:rsidRPr="00137657">
              <w:rPr>
                <w:noProof/>
                <w:sz w:val="26"/>
                <w:szCs w:val="26"/>
                <w:lang w:val="uk-UA"/>
              </w:rPr>
              <w:t xml:space="preserve">Негативний </w:t>
            </w:r>
            <w:r w:rsidR="003F3665" w:rsidRPr="00137657">
              <w:rPr>
                <w:noProof/>
                <w:sz w:val="26"/>
                <w:szCs w:val="26"/>
                <w:lang w:val="uk-UA"/>
              </w:rPr>
              <w:t xml:space="preserve">короткостроковий та </w:t>
            </w:r>
            <w:r w:rsidRPr="00137657">
              <w:rPr>
                <w:noProof/>
                <w:sz w:val="26"/>
                <w:szCs w:val="26"/>
                <w:lang w:val="uk-UA"/>
              </w:rPr>
              <w:t xml:space="preserve">позитивний </w:t>
            </w:r>
            <w:r w:rsidR="003F3665" w:rsidRPr="00137657">
              <w:rPr>
                <w:noProof/>
                <w:sz w:val="26"/>
                <w:szCs w:val="26"/>
                <w:lang w:val="uk-UA"/>
              </w:rPr>
              <w:t>середньостроковий вплив</w:t>
            </w:r>
          </w:p>
        </w:tc>
        <w:tc>
          <w:tcPr>
            <w:tcW w:w="5238" w:type="dxa"/>
          </w:tcPr>
          <w:p w14:paraId="0A761E39" w14:textId="75DA3EAB" w:rsidR="003F3665" w:rsidRPr="00137657" w:rsidRDefault="00EB57C7" w:rsidP="003F3665">
            <w:pPr>
              <w:pStyle w:val="aa"/>
              <w:shd w:val="clear" w:color="auto" w:fill="auto"/>
              <w:ind w:firstLine="0"/>
              <w:jc w:val="both"/>
              <w:rPr>
                <w:sz w:val="26"/>
                <w:szCs w:val="26"/>
                <w:lang w:val="uk-UA"/>
              </w:rPr>
            </w:pPr>
            <w:r w:rsidRPr="00137657">
              <w:rPr>
                <w:sz w:val="26"/>
                <w:szCs w:val="26"/>
                <w:lang w:val="uk-UA"/>
              </w:rPr>
              <w:t>У короткостроковій перспективі Мінцифр</w:t>
            </w:r>
            <w:r w:rsidR="00CF2A2B" w:rsidRPr="00137657">
              <w:rPr>
                <w:sz w:val="26"/>
                <w:szCs w:val="26"/>
                <w:lang w:val="uk-UA"/>
              </w:rPr>
              <w:t>и</w:t>
            </w:r>
            <w:r w:rsidRPr="00137657">
              <w:rPr>
                <w:sz w:val="26"/>
                <w:szCs w:val="26"/>
                <w:lang w:val="uk-UA"/>
              </w:rPr>
              <w:t xml:space="preserve"> доведеться виділити дода</w:t>
            </w:r>
            <w:r w:rsidR="00933BC8" w:rsidRPr="00137657">
              <w:rPr>
                <w:sz w:val="26"/>
                <w:szCs w:val="26"/>
                <w:lang w:val="uk-UA"/>
              </w:rPr>
              <w:t>тк</w:t>
            </w:r>
            <w:r w:rsidRPr="00137657">
              <w:rPr>
                <w:sz w:val="26"/>
                <w:szCs w:val="26"/>
                <w:lang w:val="uk-UA"/>
              </w:rPr>
              <w:t>ові ресурси для передачі документів Адміністратору ІТС ЦЗО.</w:t>
            </w:r>
          </w:p>
          <w:p w14:paraId="78B8FD73" w14:textId="2B0F3A4F" w:rsidR="00EB57C7" w:rsidRPr="00137657" w:rsidRDefault="00EB57C7" w:rsidP="003F3665">
            <w:pPr>
              <w:pStyle w:val="aa"/>
              <w:shd w:val="clear" w:color="auto" w:fill="auto"/>
              <w:ind w:firstLine="0"/>
              <w:jc w:val="both"/>
              <w:rPr>
                <w:noProof/>
                <w:sz w:val="26"/>
                <w:szCs w:val="26"/>
                <w:lang w:val="uk-UA"/>
              </w:rPr>
            </w:pPr>
            <w:r w:rsidRPr="00137657">
              <w:rPr>
                <w:sz w:val="26"/>
                <w:szCs w:val="26"/>
                <w:lang w:val="uk-UA"/>
              </w:rPr>
              <w:t>У середньостроковій перспективі Мінци</w:t>
            </w:r>
            <w:r w:rsidR="00485AB9" w:rsidRPr="00137657">
              <w:rPr>
                <w:sz w:val="26"/>
                <w:szCs w:val="26"/>
                <w:lang w:val="uk-UA"/>
              </w:rPr>
              <w:t>ф</w:t>
            </w:r>
            <w:r w:rsidRPr="00137657">
              <w:rPr>
                <w:sz w:val="26"/>
                <w:szCs w:val="26"/>
                <w:lang w:val="uk-UA"/>
              </w:rPr>
              <w:t>ри зможе більш ефективно використовувати ресурси для виконання характерних завдань.</w:t>
            </w:r>
          </w:p>
        </w:tc>
      </w:tr>
      <w:tr w:rsidR="00E347C6" w:rsidRPr="00137657" w14:paraId="34ED019E" w14:textId="77777777" w:rsidTr="008C3A48">
        <w:tc>
          <w:tcPr>
            <w:tcW w:w="1838" w:type="dxa"/>
          </w:tcPr>
          <w:p w14:paraId="10340BBA" w14:textId="4621F404" w:rsidR="003F3665" w:rsidRPr="00137657" w:rsidRDefault="00EB57C7" w:rsidP="00252E6D">
            <w:pPr>
              <w:pStyle w:val="aa"/>
              <w:shd w:val="clear" w:color="auto" w:fill="auto"/>
              <w:ind w:firstLine="0"/>
              <w:jc w:val="center"/>
              <w:rPr>
                <w:noProof/>
                <w:sz w:val="26"/>
                <w:szCs w:val="26"/>
                <w:lang w:val="uk-UA"/>
              </w:rPr>
            </w:pPr>
            <w:r w:rsidRPr="00137657">
              <w:rPr>
                <w:sz w:val="26"/>
                <w:szCs w:val="26"/>
                <w:lang w:val="uk-UA"/>
              </w:rPr>
              <w:t>Адміністратор ІТС ЦЗО</w:t>
            </w:r>
          </w:p>
        </w:tc>
        <w:tc>
          <w:tcPr>
            <w:tcW w:w="2268" w:type="dxa"/>
          </w:tcPr>
          <w:p w14:paraId="37B2A454" w14:textId="77777777" w:rsidR="003F3665" w:rsidRPr="00137657" w:rsidRDefault="003F3665" w:rsidP="00252E6D">
            <w:pPr>
              <w:pStyle w:val="aa"/>
              <w:shd w:val="clear" w:color="auto" w:fill="auto"/>
              <w:tabs>
                <w:tab w:val="left" w:pos="960"/>
              </w:tabs>
              <w:ind w:firstLine="0"/>
              <w:jc w:val="center"/>
              <w:rPr>
                <w:noProof/>
                <w:sz w:val="26"/>
                <w:szCs w:val="26"/>
                <w:lang w:val="uk-UA"/>
              </w:rPr>
            </w:pPr>
            <w:r w:rsidRPr="00137657">
              <w:rPr>
                <w:noProof/>
                <w:sz w:val="26"/>
                <w:szCs w:val="26"/>
                <w:lang w:val="uk-UA"/>
              </w:rPr>
              <w:t>Негативний короткостроковий та позитивний середньостроковий вплив</w:t>
            </w:r>
          </w:p>
        </w:tc>
        <w:tc>
          <w:tcPr>
            <w:tcW w:w="5238" w:type="dxa"/>
          </w:tcPr>
          <w:p w14:paraId="39018F69" w14:textId="46C85392" w:rsidR="00EB57C7" w:rsidRPr="00137657" w:rsidRDefault="003F3665" w:rsidP="003F3665">
            <w:pPr>
              <w:pStyle w:val="aa"/>
              <w:shd w:val="clear" w:color="auto" w:fill="auto"/>
              <w:ind w:firstLine="0"/>
              <w:jc w:val="both"/>
              <w:rPr>
                <w:sz w:val="26"/>
                <w:szCs w:val="26"/>
                <w:lang w:val="uk-UA"/>
              </w:rPr>
            </w:pPr>
            <w:r w:rsidRPr="00137657">
              <w:rPr>
                <w:sz w:val="26"/>
                <w:szCs w:val="26"/>
                <w:lang w:val="uk-UA"/>
              </w:rPr>
              <w:t xml:space="preserve">У короткостроковій перспективі </w:t>
            </w:r>
            <w:r w:rsidR="00EB57C7" w:rsidRPr="00137657">
              <w:rPr>
                <w:sz w:val="26"/>
                <w:szCs w:val="26"/>
                <w:lang w:val="uk-UA"/>
              </w:rPr>
              <w:t xml:space="preserve"> Адміністратору ІТС ЦЗО доведеться виділити дода</w:t>
            </w:r>
            <w:r w:rsidR="00933BC8" w:rsidRPr="00137657">
              <w:rPr>
                <w:sz w:val="26"/>
                <w:szCs w:val="26"/>
                <w:lang w:val="uk-UA"/>
              </w:rPr>
              <w:t>тк</w:t>
            </w:r>
            <w:r w:rsidR="00EB57C7" w:rsidRPr="00137657">
              <w:rPr>
                <w:sz w:val="26"/>
                <w:szCs w:val="26"/>
                <w:lang w:val="uk-UA"/>
              </w:rPr>
              <w:t>ові ресурси для отримання документів від Мінци</w:t>
            </w:r>
            <w:r w:rsidR="00CF2A2B" w:rsidRPr="00137657">
              <w:rPr>
                <w:sz w:val="26"/>
                <w:szCs w:val="26"/>
                <w:lang w:val="uk-UA"/>
              </w:rPr>
              <w:t>ф</w:t>
            </w:r>
            <w:r w:rsidR="00EB57C7" w:rsidRPr="00137657">
              <w:rPr>
                <w:sz w:val="26"/>
                <w:szCs w:val="26"/>
                <w:lang w:val="uk-UA"/>
              </w:rPr>
              <w:t>ри.</w:t>
            </w:r>
          </w:p>
          <w:p w14:paraId="7A5087EA" w14:textId="77777777" w:rsidR="003F3665" w:rsidRPr="00137657" w:rsidRDefault="003F3665" w:rsidP="003F3665">
            <w:pPr>
              <w:pStyle w:val="aa"/>
              <w:shd w:val="clear" w:color="auto" w:fill="auto"/>
              <w:ind w:firstLine="0"/>
              <w:jc w:val="both"/>
              <w:rPr>
                <w:sz w:val="26"/>
                <w:szCs w:val="26"/>
                <w:lang w:val="uk-UA"/>
              </w:rPr>
            </w:pPr>
            <w:r w:rsidRPr="00137657">
              <w:rPr>
                <w:sz w:val="26"/>
                <w:szCs w:val="26"/>
                <w:lang w:val="uk-UA"/>
              </w:rPr>
              <w:t xml:space="preserve">У середньостроковій перспективі </w:t>
            </w:r>
            <w:r w:rsidR="00EB57C7" w:rsidRPr="00137657">
              <w:rPr>
                <w:sz w:val="26"/>
                <w:szCs w:val="26"/>
                <w:lang w:val="uk-UA"/>
              </w:rPr>
              <w:t>Адміністратор ІТС ЦЗО зберігатиме всю документовану інформацію, сформовані сертифікати (у тому числі посилені, кваліфіковані) відкритих ключів, реєстрів чинних, блокованих та скасованих сертифікатів відкритих ключів у разі припинення діяльності кваліфікованого надавача електронних довірчих послуг, що зробить пошук відповідної інформації більш ефективнішими, у разі виникнення такої необхідності</w:t>
            </w:r>
            <w:r w:rsidR="0052493C" w:rsidRPr="00137657">
              <w:rPr>
                <w:sz w:val="26"/>
                <w:szCs w:val="26"/>
                <w:lang w:val="uk-UA"/>
              </w:rPr>
              <w:t>.</w:t>
            </w:r>
          </w:p>
          <w:p w14:paraId="5B570879" w14:textId="0C0A183D" w:rsidR="002D29FA" w:rsidRPr="00137657" w:rsidRDefault="002D29FA" w:rsidP="003F3665">
            <w:pPr>
              <w:pStyle w:val="aa"/>
              <w:shd w:val="clear" w:color="auto" w:fill="auto"/>
              <w:ind w:firstLine="0"/>
              <w:jc w:val="both"/>
              <w:rPr>
                <w:noProof/>
                <w:sz w:val="26"/>
                <w:szCs w:val="26"/>
                <w:lang w:val="uk-UA"/>
              </w:rPr>
            </w:pPr>
          </w:p>
        </w:tc>
      </w:tr>
      <w:tr w:rsidR="00E347C6" w:rsidRPr="00137657" w14:paraId="53E8C694" w14:textId="77777777" w:rsidTr="008C3A48">
        <w:tc>
          <w:tcPr>
            <w:tcW w:w="1838" w:type="dxa"/>
          </w:tcPr>
          <w:p w14:paraId="03EE6382" w14:textId="047C8077" w:rsidR="00915CFC" w:rsidRPr="00137657" w:rsidRDefault="00915CFC" w:rsidP="00252E6D">
            <w:pPr>
              <w:pStyle w:val="aa"/>
              <w:shd w:val="clear" w:color="auto" w:fill="auto"/>
              <w:ind w:firstLine="0"/>
              <w:jc w:val="center"/>
              <w:rPr>
                <w:sz w:val="26"/>
                <w:szCs w:val="26"/>
                <w:lang w:val="uk-UA"/>
              </w:rPr>
            </w:pPr>
            <w:r w:rsidRPr="00137657">
              <w:rPr>
                <w:sz w:val="26"/>
                <w:szCs w:val="26"/>
                <w:lang w:val="uk-UA"/>
              </w:rPr>
              <w:t>Кваліфіко</w:t>
            </w:r>
            <w:r w:rsidR="00933BC8" w:rsidRPr="00137657">
              <w:rPr>
                <w:sz w:val="26"/>
                <w:szCs w:val="26"/>
                <w:lang w:val="uk-UA"/>
              </w:rPr>
              <w:t>в</w:t>
            </w:r>
            <w:r w:rsidRPr="00137657">
              <w:rPr>
                <w:sz w:val="26"/>
                <w:szCs w:val="26"/>
                <w:lang w:val="uk-UA"/>
              </w:rPr>
              <w:t xml:space="preserve">ані надавачі </w:t>
            </w:r>
            <w:r w:rsidRPr="00137657">
              <w:rPr>
                <w:sz w:val="26"/>
                <w:szCs w:val="26"/>
                <w:lang w:val="uk-UA"/>
              </w:rPr>
              <w:lastRenderedPageBreak/>
              <w:t>електронних довірчих послуг</w:t>
            </w:r>
          </w:p>
        </w:tc>
        <w:tc>
          <w:tcPr>
            <w:tcW w:w="2268" w:type="dxa"/>
          </w:tcPr>
          <w:p w14:paraId="6B6C3283" w14:textId="39DBC8F7" w:rsidR="00915CFC" w:rsidRPr="00137657" w:rsidRDefault="00915CFC" w:rsidP="00252E6D">
            <w:pPr>
              <w:pStyle w:val="aa"/>
              <w:shd w:val="clear" w:color="auto" w:fill="auto"/>
              <w:tabs>
                <w:tab w:val="left" w:pos="960"/>
              </w:tabs>
              <w:ind w:firstLine="0"/>
              <w:jc w:val="center"/>
              <w:rPr>
                <w:noProof/>
                <w:sz w:val="26"/>
                <w:szCs w:val="26"/>
                <w:lang w:val="uk-UA"/>
              </w:rPr>
            </w:pPr>
            <w:r w:rsidRPr="00137657">
              <w:rPr>
                <w:noProof/>
                <w:sz w:val="26"/>
                <w:szCs w:val="26"/>
                <w:lang w:val="uk-UA"/>
              </w:rPr>
              <w:lastRenderedPageBreak/>
              <w:t xml:space="preserve">Негативний короткостроковий </w:t>
            </w:r>
            <w:r w:rsidRPr="00137657">
              <w:rPr>
                <w:noProof/>
                <w:sz w:val="26"/>
                <w:szCs w:val="26"/>
                <w:lang w:val="uk-UA"/>
              </w:rPr>
              <w:lastRenderedPageBreak/>
              <w:t>та середньостроковий вплив</w:t>
            </w:r>
          </w:p>
        </w:tc>
        <w:tc>
          <w:tcPr>
            <w:tcW w:w="5238" w:type="dxa"/>
          </w:tcPr>
          <w:p w14:paraId="30DAC5F3" w14:textId="0B58DD81" w:rsidR="00915CFC" w:rsidRPr="00137657" w:rsidRDefault="00915CFC" w:rsidP="003F3665">
            <w:pPr>
              <w:pStyle w:val="aa"/>
              <w:shd w:val="clear" w:color="auto" w:fill="auto"/>
              <w:ind w:firstLine="0"/>
              <w:jc w:val="both"/>
              <w:rPr>
                <w:sz w:val="26"/>
                <w:szCs w:val="26"/>
                <w:lang w:val="uk-UA"/>
              </w:rPr>
            </w:pPr>
            <w:r w:rsidRPr="00137657">
              <w:rPr>
                <w:sz w:val="26"/>
                <w:szCs w:val="26"/>
                <w:lang w:val="uk-UA"/>
              </w:rPr>
              <w:lastRenderedPageBreak/>
              <w:t>У короткостроковій та середньостроковій перспективі кваліфіко</w:t>
            </w:r>
            <w:r w:rsidR="00933BC8" w:rsidRPr="00137657">
              <w:rPr>
                <w:sz w:val="26"/>
                <w:szCs w:val="26"/>
                <w:lang w:val="uk-UA"/>
              </w:rPr>
              <w:t>в</w:t>
            </w:r>
            <w:r w:rsidRPr="00137657">
              <w:rPr>
                <w:sz w:val="26"/>
                <w:szCs w:val="26"/>
                <w:lang w:val="uk-UA"/>
              </w:rPr>
              <w:t xml:space="preserve">ані надавачі </w:t>
            </w:r>
            <w:r w:rsidRPr="00137657">
              <w:rPr>
                <w:sz w:val="26"/>
                <w:szCs w:val="26"/>
                <w:lang w:val="uk-UA"/>
              </w:rPr>
              <w:lastRenderedPageBreak/>
              <w:t>електронних довірчих послуг, що є юридичними особами приватного права мають сплачувати за отримання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 відповідно до тарифів встановлених Міністерством цифрової трансформації</w:t>
            </w:r>
            <w:r w:rsidR="00A50AC8" w:rsidRPr="00137657">
              <w:rPr>
                <w:sz w:val="26"/>
                <w:szCs w:val="26"/>
                <w:lang w:val="uk-UA"/>
              </w:rPr>
              <w:t xml:space="preserve"> України</w:t>
            </w:r>
            <w:r w:rsidRPr="00137657">
              <w:rPr>
                <w:sz w:val="26"/>
                <w:szCs w:val="26"/>
                <w:lang w:val="uk-UA"/>
              </w:rPr>
              <w:t xml:space="preserve"> та відповідно не порушувати вимог законодавства у сфері електронних довірчих послуг</w:t>
            </w:r>
          </w:p>
        </w:tc>
      </w:tr>
      <w:tr w:rsidR="00E347C6" w:rsidRPr="00137657" w14:paraId="7F3349AC" w14:textId="77777777" w:rsidTr="008C3A48">
        <w:tc>
          <w:tcPr>
            <w:tcW w:w="1838" w:type="dxa"/>
          </w:tcPr>
          <w:p w14:paraId="4C06289B" w14:textId="2441152A" w:rsidR="00915CFC" w:rsidRPr="00137657" w:rsidRDefault="00915CFC" w:rsidP="00252E6D">
            <w:pPr>
              <w:pStyle w:val="aa"/>
              <w:shd w:val="clear" w:color="auto" w:fill="auto"/>
              <w:ind w:firstLine="0"/>
              <w:jc w:val="center"/>
              <w:rPr>
                <w:sz w:val="26"/>
                <w:szCs w:val="26"/>
                <w:lang w:val="uk-UA"/>
              </w:rPr>
            </w:pPr>
            <w:r w:rsidRPr="00137657">
              <w:rPr>
                <w:sz w:val="26"/>
                <w:szCs w:val="26"/>
                <w:lang w:val="uk-UA"/>
              </w:rPr>
              <w:lastRenderedPageBreak/>
              <w:t>Держава</w:t>
            </w:r>
          </w:p>
        </w:tc>
        <w:tc>
          <w:tcPr>
            <w:tcW w:w="2268" w:type="dxa"/>
          </w:tcPr>
          <w:p w14:paraId="23509601" w14:textId="0B33E16E" w:rsidR="00915CFC" w:rsidRPr="00137657" w:rsidRDefault="00915CFC" w:rsidP="00252E6D">
            <w:pPr>
              <w:pStyle w:val="aa"/>
              <w:shd w:val="clear" w:color="auto" w:fill="auto"/>
              <w:tabs>
                <w:tab w:val="left" w:pos="960"/>
              </w:tabs>
              <w:ind w:firstLine="0"/>
              <w:jc w:val="center"/>
              <w:rPr>
                <w:noProof/>
                <w:sz w:val="26"/>
                <w:szCs w:val="26"/>
                <w:lang w:val="uk-UA"/>
              </w:rPr>
            </w:pPr>
            <w:r w:rsidRPr="00137657">
              <w:rPr>
                <w:noProof/>
                <w:sz w:val="26"/>
                <w:szCs w:val="26"/>
                <w:lang w:val="uk-UA"/>
              </w:rPr>
              <w:t>Позитивний короткостроковий та середньостроковий вплив</w:t>
            </w:r>
          </w:p>
        </w:tc>
        <w:tc>
          <w:tcPr>
            <w:tcW w:w="5238" w:type="dxa"/>
          </w:tcPr>
          <w:p w14:paraId="65977A14" w14:textId="00609882" w:rsidR="00915CFC" w:rsidRPr="00137657" w:rsidRDefault="00915CFC" w:rsidP="003F3665">
            <w:pPr>
              <w:pStyle w:val="aa"/>
              <w:shd w:val="clear" w:color="auto" w:fill="auto"/>
              <w:ind w:firstLine="0"/>
              <w:jc w:val="both"/>
              <w:rPr>
                <w:sz w:val="26"/>
                <w:szCs w:val="26"/>
                <w:lang w:val="uk-UA"/>
              </w:rPr>
            </w:pPr>
            <w:r w:rsidRPr="00137657">
              <w:rPr>
                <w:sz w:val="26"/>
                <w:szCs w:val="26"/>
                <w:lang w:val="uk-UA"/>
              </w:rPr>
              <w:t>У короткостроковій та середньостроковій перспективі відбудеться зменшення витрат держави за надання кваліфікованої електронної довірчої послуги формування, перевірки та підтвердження чинності кваліфікованого сертифіката електронного підпису чи печатки юридичним особам приватного права та, як наслідок, збільшиться дохідна частина Державного бюджету України за рахунок встановлення відповідних тарифів</w:t>
            </w:r>
          </w:p>
        </w:tc>
      </w:tr>
    </w:tbl>
    <w:p w14:paraId="2B2F8482" w14:textId="77777777" w:rsidR="00EB7EB9" w:rsidRPr="00137657" w:rsidRDefault="00EB7EB9" w:rsidP="005B483E">
      <w:pPr>
        <w:spacing w:before="120" w:after="120" w:line="240" w:lineRule="auto"/>
        <w:jc w:val="both"/>
        <w:rPr>
          <w:rFonts w:ascii="Times New Roman" w:eastAsia="Times New Roman" w:hAnsi="Times New Roman" w:cs="Times New Roman"/>
          <w:sz w:val="28"/>
          <w:szCs w:val="28"/>
        </w:rPr>
      </w:pPr>
    </w:p>
    <w:p w14:paraId="2B9A2762" w14:textId="77777777" w:rsidR="006934B5" w:rsidRPr="00137657" w:rsidRDefault="006934B5" w:rsidP="006934B5">
      <w:pPr>
        <w:pStyle w:val="a8"/>
        <w:rPr>
          <w:rFonts w:ascii="Times New Roman" w:hAnsi="Times New Roman" w:cs="Times New Roman"/>
          <w:b/>
          <w:bCs/>
          <w:sz w:val="28"/>
          <w:szCs w:val="28"/>
        </w:rPr>
      </w:pPr>
      <w:r w:rsidRPr="00137657">
        <w:rPr>
          <w:rFonts w:ascii="Times New Roman" w:hAnsi="Times New Roman" w:cs="Times New Roman"/>
          <w:b/>
          <w:bCs/>
          <w:sz w:val="28"/>
          <w:szCs w:val="28"/>
        </w:rPr>
        <w:t>Віце-прем’єр-міністр України –</w:t>
      </w:r>
    </w:p>
    <w:p w14:paraId="53E59EDC" w14:textId="77777777" w:rsidR="006934B5" w:rsidRPr="00137657" w:rsidRDefault="006934B5" w:rsidP="006934B5">
      <w:pPr>
        <w:pStyle w:val="a8"/>
        <w:rPr>
          <w:rFonts w:ascii="Times New Roman" w:hAnsi="Times New Roman" w:cs="Times New Roman"/>
          <w:b/>
          <w:bCs/>
          <w:sz w:val="28"/>
          <w:szCs w:val="28"/>
        </w:rPr>
      </w:pPr>
      <w:r w:rsidRPr="00137657">
        <w:rPr>
          <w:rFonts w:ascii="Times New Roman" w:hAnsi="Times New Roman" w:cs="Times New Roman"/>
          <w:b/>
          <w:bCs/>
          <w:sz w:val="28"/>
          <w:szCs w:val="28"/>
        </w:rPr>
        <w:t xml:space="preserve">Міністр цифрової трансформації </w:t>
      </w:r>
    </w:p>
    <w:p w14:paraId="6DD1CFC7" w14:textId="7423CBAE" w:rsidR="00766D93" w:rsidRPr="00137657" w:rsidRDefault="006934B5" w:rsidP="006934B5">
      <w:pPr>
        <w:pStyle w:val="a8"/>
        <w:tabs>
          <w:tab w:val="right" w:pos="9639"/>
        </w:tabs>
        <w:rPr>
          <w:rFonts w:ascii="Times New Roman" w:hAnsi="Times New Roman" w:cs="Times New Roman"/>
          <w:b/>
          <w:bCs/>
          <w:sz w:val="28"/>
          <w:szCs w:val="28"/>
        </w:rPr>
      </w:pPr>
      <w:r w:rsidRPr="00137657">
        <w:rPr>
          <w:rFonts w:ascii="Times New Roman" w:hAnsi="Times New Roman" w:cs="Times New Roman"/>
          <w:b/>
          <w:bCs/>
          <w:sz w:val="28"/>
          <w:szCs w:val="28"/>
        </w:rPr>
        <w:t xml:space="preserve">України </w:t>
      </w:r>
      <w:r w:rsidRPr="00137657">
        <w:rPr>
          <w:rFonts w:ascii="Times New Roman" w:hAnsi="Times New Roman" w:cs="Times New Roman"/>
          <w:b/>
          <w:bCs/>
          <w:sz w:val="28"/>
          <w:szCs w:val="28"/>
        </w:rPr>
        <w:tab/>
        <w:t>Михайло ФЕДОРОВ</w:t>
      </w:r>
    </w:p>
    <w:p w14:paraId="1C49B891" w14:textId="77777777" w:rsidR="006934B5" w:rsidRPr="00137657" w:rsidRDefault="006934B5" w:rsidP="006934B5">
      <w:pPr>
        <w:pStyle w:val="a8"/>
        <w:tabs>
          <w:tab w:val="right" w:pos="9639"/>
        </w:tabs>
        <w:rPr>
          <w:rFonts w:ascii="Times New Roman" w:hAnsi="Times New Roman" w:cs="Times New Roman"/>
          <w:b/>
          <w:bCs/>
          <w:sz w:val="28"/>
          <w:szCs w:val="28"/>
        </w:rPr>
      </w:pPr>
    </w:p>
    <w:p w14:paraId="667C8081" w14:textId="0004E611" w:rsidR="00AC0290" w:rsidRPr="006570B3" w:rsidRDefault="00AC0290" w:rsidP="009D4A06">
      <w:pPr>
        <w:pStyle w:val="a8"/>
        <w:rPr>
          <w:rFonts w:ascii="Times New Roman" w:hAnsi="Times New Roman" w:cs="Times New Roman"/>
          <w:sz w:val="28"/>
          <w:szCs w:val="28"/>
        </w:rPr>
      </w:pPr>
      <w:r w:rsidRPr="00137657">
        <w:rPr>
          <w:rFonts w:ascii="Times New Roman" w:hAnsi="Times New Roman" w:cs="Times New Roman"/>
          <w:sz w:val="28"/>
          <w:szCs w:val="28"/>
        </w:rPr>
        <w:t>«____» ____________ 2021 року</w:t>
      </w:r>
    </w:p>
    <w:sectPr w:rsidR="00AC0290" w:rsidRPr="006570B3" w:rsidSect="007F5D15">
      <w:headerReference w:type="default" r:id="rId7"/>
      <w:footerReference w:type="first" r:id="rId8"/>
      <w:pgSz w:w="11906" w:h="16838"/>
      <w:pgMar w:top="851" w:right="707" w:bottom="127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72678" w14:textId="77777777" w:rsidR="00894881" w:rsidRDefault="00894881">
      <w:pPr>
        <w:spacing w:after="0" w:line="240" w:lineRule="auto"/>
      </w:pPr>
      <w:r>
        <w:separator/>
      </w:r>
    </w:p>
  </w:endnote>
  <w:endnote w:type="continuationSeparator" w:id="0">
    <w:p w14:paraId="45D2B22F" w14:textId="77777777" w:rsidR="00894881" w:rsidRDefault="0089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6F33D" w14:textId="4538C228" w:rsidR="003F3665" w:rsidRDefault="003F3665">
    <w:pPr>
      <w:pStyle w:val="ab"/>
    </w:pPr>
    <w:r>
      <w:br/>
    </w:r>
    <w:r>
      <w:br/>
    </w:r>
    <w:r>
      <w:br/>
    </w:r>
    <w:r>
      <w:br/>
    </w:r>
    <w:r>
      <w:br/>
    </w: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3DDFE" w14:textId="77777777" w:rsidR="00894881" w:rsidRDefault="00894881">
      <w:pPr>
        <w:spacing w:after="0" w:line="240" w:lineRule="auto"/>
      </w:pPr>
      <w:r>
        <w:separator/>
      </w:r>
    </w:p>
  </w:footnote>
  <w:footnote w:type="continuationSeparator" w:id="0">
    <w:p w14:paraId="4704F07D" w14:textId="77777777" w:rsidR="00894881" w:rsidRDefault="0089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236628"/>
      <w:docPartObj>
        <w:docPartGallery w:val="Page Numbers (Top of Page)"/>
        <w:docPartUnique/>
      </w:docPartObj>
    </w:sdtPr>
    <w:sdtEndPr>
      <w:rPr>
        <w:rFonts w:ascii="Times New Roman" w:hAnsi="Times New Roman" w:cs="Times New Roman"/>
        <w:sz w:val="28"/>
        <w:szCs w:val="28"/>
      </w:rPr>
    </w:sdtEndPr>
    <w:sdtContent>
      <w:p w14:paraId="5902CB18" w14:textId="55B3B902" w:rsidR="008D4C02" w:rsidRPr="006B6569" w:rsidRDefault="00EF476B">
        <w:pPr>
          <w:pStyle w:val="a4"/>
          <w:jc w:val="center"/>
          <w:rPr>
            <w:rFonts w:ascii="Times New Roman" w:hAnsi="Times New Roman" w:cs="Times New Roman"/>
            <w:sz w:val="28"/>
            <w:szCs w:val="28"/>
          </w:rPr>
        </w:pPr>
        <w:r w:rsidRPr="006B6569">
          <w:rPr>
            <w:rFonts w:ascii="Times New Roman" w:hAnsi="Times New Roman" w:cs="Times New Roman"/>
            <w:sz w:val="28"/>
            <w:szCs w:val="28"/>
          </w:rPr>
          <w:fldChar w:fldCharType="begin"/>
        </w:r>
        <w:r w:rsidRPr="006B6569">
          <w:rPr>
            <w:rFonts w:ascii="Times New Roman" w:hAnsi="Times New Roman" w:cs="Times New Roman"/>
            <w:sz w:val="28"/>
            <w:szCs w:val="28"/>
          </w:rPr>
          <w:instrText>PAGE   \* MERGEFORMAT</w:instrText>
        </w:r>
        <w:r w:rsidRPr="006B6569">
          <w:rPr>
            <w:rFonts w:ascii="Times New Roman" w:hAnsi="Times New Roman" w:cs="Times New Roman"/>
            <w:sz w:val="28"/>
            <w:szCs w:val="28"/>
          </w:rPr>
          <w:fldChar w:fldCharType="separate"/>
        </w:r>
        <w:r w:rsidR="00DA5FF9">
          <w:rPr>
            <w:rFonts w:ascii="Times New Roman" w:hAnsi="Times New Roman" w:cs="Times New Roman"/>
            <w:noProof/>
            <w:sz w:val="28"/>
            <w:szCs w:val="28"/>
          </w:rPr>
          <w:t>2</w:t>
        </w:r>
        <w:r w:rsidRPr="006B6569">
          <w:rPr>
            <w:rFonts w:ascii="Times New Roman" w:hAnsi="Times New Roman" w:cs="Times New Roman"/>
            <w:sz w:val="28"/>
            <w:szCs w:val="28"/>
          </w:rPr>
          <w:fldChar w:fldCharType="end"/>
        </w:r>
      </w:p>
    </w:sdtContent>
  </w:sdt>
  <w:p w14:paraId="5B364B1B" w14:textId="77777777" w:rsidR="008D4C02" w:rsidRDefault="006448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118B9"/>
    <w:multiLevelType w:val="hybridMultilevel"/>
    <w:tmpl w:val="1EC4AC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9857375"/>
    <w:multiLevelType w:val="hybridMultilevel"/>
    <w:tmpl w:val="F7C6FE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FB25507"/>
    <w:multiLevelType w:val="hybridMultilevel"/>
    <w:tmpl w:val="773E25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C493396"/>
    <w:multiLevelType w:val="hybridMultilevel"/>
    <w:tmpl w:val="C4F0D7E6"/>
    <w:lvl w:ilvl="0" w:tplc="2CB232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B9"/>
    <w:rsid w:val="00010F0A"/>
    <w:rsid w:val="00022CA8"/>
    <w:rsid w:val="000308BC"/>
    <w:rsid w:val="00072F56"/>
    <w:rsid w:val="00073AFB"/>
    <w:rsid w:val="0007479D"/>
    <w:rsid w:val="00080244"/>
    <w:rsid w:val="0008067D"/>
    <w:rsid w:val="00080A9E"/>
    <w:rsid w:val="000A5674"/>
    <w:rsid w:val="000A6E88"/>
    <w:rsid w:val="000A735E"/>
    <w:rsid w:val="000C635E"/>
    <w:rsid w:val="000E02AC"/>
    <w:rsid w:val="00116CA3"/>
    <w:rsid w:val="001170CF"/>
    <w:rsid w:val="00121037"/>
    <w:rsid w:val="00137657"/>
    <w:rsid w:val="0016104D"/>
    <w:rsid w:val="001625CB"/>
    <w:rsid w:val="001634F0"/>
    <w:rsid w:val="0018149C"/>
    <w:rsid w:val="00181D31"/>
    <w:rsid w:val="00185D89"/>
    <w:rsid w:val="00194EFA"/>
    <w:rsid w:val="001B32DA"/>
    <w:rsid w:val="001B676B"/>
    <w:rsid w:val="001C1FCF"/>
    <w:rsid w:val="001E1D4D"/>
    <w:rsid w:val="001E5BE2"/>
    <w:rsid w:val="00212989"/>
    <w:rsid w:val="00226199"/>
    <w:rsid w:val="00235510"/>
    <w:rsid w:val="00245048"/>
    <w:rsid w:val="00251A37"/>
    <w:rsid w:val="00254467"/>
    <w:rsid w:val="0026348C"/>
    <w:rsid w:val="0026458E"/>
    <w:rsid w:val="00293A95"/>
    <w:rsid w:val="00295F18"/>
    <w:rsid w:val="002A5007"/>
    <w:rsid w:val="002B1687"/>
    <w:rsid w:val="002B31BE"/>
    <w:rsid w:val="002B5EF4"/>
    <w:rsid w:val="002D29FA"/>
    <w:rsid w:val="002D34E5"/>
    <w:rsid w:val="002D5BE5"/>
    <w:rsid w:val="00335A8F"/>
    <w:rsid w:val="00343C71"/>
    <w:rsid w:val="00357271"/>
    <w:rsid w:val="003631F1"/>
    <w:rsid w:val="00365D17"/>
    <w:rsid w:val="003754AF"/>
    <w:rsid w:val="003B136C"/>
    <w:rsid w:val="003E05D2"/>
    <w:rsid w:val="003F3315"/>
    <w:rsid w:val="003F3665"/>
    <w:rsid w:val="003F4111"/>
    <w:rsid w:val="0041082B"/>
    <w:rsid w:val="00411A78"/>
    <w:rsid w:val="00413555"/>
    <w:rsid w:val="00464963"/>
    <w:rsid w:val="00485AB9"/>
    <w:rsid w:val="00495149"/>
    <w:rsid w:val="004B605F"/>
    <w:rsid w:val="004B68B6"/>
    <w:rsid w:val="004C30B3"/>
    <w:rsid w:val="004C4D05"/>
    <w:rsid w:val="004D168E"/>
    <w:rsid w:val="004D29A9"/>
    <w:rsid w:val="004E4694"/>
    <w:rsid w:val="0052493C"/>
    <w:rsid w:val="00527D2B"/>
    <w:rsid w:val="00532703"/>
    <w:rsid w:val="00561D9B"/>
    <w:rsid w:val="00574093"/>
    <w:rsid w:val="005856D2"/>
    <w:rsid w:val="005B186A"/>
    <w:rsid w:val="005B483E"/>
    <w:rsid w:val="005D3827"/>
    <w:rsid w:val="005E54C4"/>
    <w:rsid w:val="005E5FC1"/>
    <w:rsid w:val="00600B5F"/>
    <w:rsid w:val="00621FA5"/>
    <w:rsid w:val="0062735B"/>
    <w:rsid w:val="0063145C"/>
    <w:rsid w:val="00656CD1"/>
    <w:rsid w:val="006570B3"/>
    <w:rsid w:val="00664479"/>
    <w:rsid w:val="006934B5"/>
    <w:rsid w:val="00696AC2"/>
    <w:rsid w:val="006A1234"/>
    <w:rsid w:val="006A2CCD"/>
    <w:rsid w:val="006B2057"/>
    <w:rsid w:val="006C1D92"/>
    <w:rsid w:val="006E3C43"/>
    <w:rsid w:val="006E5C5E"/>
    <w:rsid w:val="00706078"/>
    <w:rsid w:val="007210D8"/>
    <w:rsid w:val="00743E79"/>
    <w:rsid w:val="00751CBB"/>
    <w:rsid w:val="00763534"/>
    <w:rsid w:val="00766D93"/>
    <w:rsid w:val="00776271"/>
    <w:rsid w:val="007B2A3C"/>
    <w:rsid w:val="007B633B"/>
    <w:rsid w:val="007D15CA"/>
    <w:rsid w:val="007E272F"/>
    <w:rsid w:val="007F5D15"/>
    <w:rsid w:val="008004D6"/>
    <w:rsid w:val="00810930"/>
    <w:rsid w:val="00810F00"/>
    <w:rsid w:val="008172C9"/>
    <w:rsid w:val="00835599"/>
    <w:rsid w:val="00837189"/>
    <w:rsid w:val="0086448F"/>
    <w:rsid w:val="0087317D"/>
    <w:rsid w:val="00877780"/>
    <w:rsid w:val="00890E36"/>
    <w:rsid w:val="00894881"/>
    <w:rsid w:val="008A4DE0"/>
    <w:rsid w:val="008A7D4E"/>
    <w:rsid w:val="008C3489"/>
    <w:rsid w:val="008C3A48"/>
    <w:rsid w:val="008C4B23"/>
    <w:rsid w:val="008E0290"/>
    <w:rsid w:val="008E2443"/>
    <w:rsid w:val="00900CA7"/>
    <w:rsid w:val="00915CFC"/>
    <w:rsid w:val="00933BC8"/>
    <w:rsid w:val="00954C40"/>
    <w:rsid w:val="0095662F"/>
    <w:rsid w:val="009615F7"/>
    <w:rsid w:val="00965929"/>
    <w:rsid w:val="0097730F"/>
    <w:rsid w:val="009774D1"/>
    <w:rsid w:val="00986A04"/>
    <w:rsid w:val="009B25C9"/>
    <w:rsid w:val="009B7D29"/>
    <w:rsid w:val="009C085E"/>
    <w:rsid w:val="009C1099"/>
    <w:rsid w:val="009C4F62"/>
    <w:rsid w:val="009D479C"/>
    <w:rsid w:val="009D4A06"/>
    <w:rsid w:val="00A105F1"/>
    <w:rsid w:val="00A14B6F"/>
    <w:rsid w:val="00A44195"/>
    <w:rsid w:val="00A46A0F"/>
    <w:rsid w:val="00A50AC8"/>
    <w:rsid w:val="00A50F62"/>
    <w:rsid w:val="00A60527"/>
    <w:rsid w:val="00A731DA"/>
    <w:rsid w:val="00A770C5"/>
    <w:rsid w:val="00A85055"/>
    <w:rsid w:val="00A9059D"/>
    <w:rsid w:val="00AC0290"/>
    <w:rsid w:val="00AD0E00"/>
    <w:rsid w:val="00AE2AB6"/>
    <w:rsid w:val="00AF0F27"/>
    <w:rsid w:val="00AF7406"/>
    <w:rsid w:val="00B07771"/>
    <w:rsid w:val="00B214F3"/>
    <w:rsid w:val="00B23CAB"/>
    <w:rsid w:val="00B2656A"/>
    <w:rsid w:val="00B60522"/>
    <w:rsid w:val="00B60699"/>
    <w:rsid w:val="00B62C4F"/>
    <w:rsid w:val="00BA174F"/>
    <w:rsid w:val="00BB4009"/>
    <w:rsid w:val="00BD1B14"/>
    <w:rsid w:val="00BD22A2"/>
    <w:rsid w:val="00BE30B9"/>
    <w:rsid w:val="00C61972"/>
    <w:rsid w:val="00C70B2E"/>
    <w:rsid w:val="00C80D9D"/>
    <w:rsid w:val="00C90CE7"/>
    <w:rsid w:val="00CD7C9E"/>
    <w:rsid w:val="00CE0DF2"/>
    <w:rsid w:val="00CE520C"/>
    <w:rsid w:val="00CF2A2B"/>
    <w:rsid w:val="00D03AEA"/>
    <w:rsid w:val="00D250C6"/>
    <w:rsid w:val="00D3556C"/>
    <w:rsid w:val="00D61C5B"/>
    <w:rsid w:val="00DA5FF9"/>
    <w:rsid w:val="00E050CB"/>
    <w:rsid w:val="00E06FB5"/>
    <w:rsid w:val="00E2289A"/>
    <w:rsid w:val="00E307BC"/>
    <w:rsid w:val="00E342EC"/>
    <w:rsid w:val="00E347C6"/>
    <w:rsid w:val="00E434F6"/>
    <w:rsid w:val="00E536F4"/>
    <w:rsid w:val="00E96FDD"/>
    <w:rsid w:val="00EB19CA"/>
    <w:rsid w:val="00EB57C7"/>
    <w:rsid w:val="00EB7EB9"/>
    <w:rsid w:val="00EE7B08"/>
    <w:rsid w:val="00EF41FF"/>
    <w:rsid w:val="00EF476B"/>
    <w:rsid w:val="00F55582"/>
    <w:rsid w:val="00F6570F"/>
    <w:rsid w:val="00F65CE4"/>
    <w:rsid w:val="00F772AE"/>
    <w:rsid w:val="00F87B58"/>
    <w:rsid w:val="00F92652"/>
    <w:rsid w:val="00F96448"/>
    <w:rsid w:val="00FC1877"/>
    <w:rsid w:val="00FC4068"/>
    <w:rsid w:val="00FD3208"/>
    <w:rsid w:val="00FE012F"/>
    <w:rsid w:val="00FF5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E353"/>
  <w15:chartTrackingRefBased/>
  <w15:docId w15:val="{2B0B8858-D2F0-42A9-9D0D-611EE7F6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EB9"/>
    <w:pPr>
      <w:spacing w:before="0" w:after="200" w:line="276" w:lineRule="auto"/>
    </w:pPr>
    <w:rPr>
      <w:rFonts w:asciiTheme="minorHAnsi" w:hAnsiTheme="minorHAnsi" w:cstheme="minorBidi"/>
      <w:sz w:val="22"/>
      <w:szCs w:val="22"/>
      <w:lang w:val="uk-UA"/>
    </w:rPr>
  </w:style>
  <w:style w:type="paragraph" w:styleId="1">
    <w:name w:val="heading 1"/>
    <w:basedOn w:val="a"/>
    <w:next w:val="a"/>
    <w:link w:val="10"/>
    <w:uiPriority w:val="9"/>
    <w:qFormat/>
    <w:rsid w:val="00EB7E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35510"/>
    <w:pPr>
      <w:keepNext/>
      <w:keepLines/>
      <w:spacing w:before="40" w:after="0" w:line="240" w:lineRule="auto"/>
      <w:jc w:val="center"/>
      <w:outlineLvl w:val="1"/>
    </w:pPr>
    <w:rPr>
      <w:rFonts w:ascii="Times New Roman" w:eastAsiaTheme="majorEastAsia" w:hAnsi="Times New Roman" w:cstheme="majorBidi"/>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510"/>
    <w:rPr>
      <w:rFonts w:eastAsiaTheme="majorEastAsia" w:cstheme="majorBidi"/>
      <w:b/>
      <w:szCs w:val="26"/>
    </w:rPr>
  </w:style>
  <w:style w:type="character" w:customStyle="1" w:styleId="10">
    <w:name w:val="Заголовок 1 Знак"/>
    <w:basedOn w:val="a0"/>
    <w:link w:val="1"/>
    <w:uiPriority w:val="9"/>
    <w:rsid w:val="00EB7EB9"/>
    <w:rPr>
      <w:rFonts w:asciiTheme="majorHAnsi" w:eastAsiaTheme="majorEastAsia" w:hAnsiTheme="majorHAnsi" w:cstheme="majorBidi"/>
      <w:color w:val="2F5496" w:themeColor="accent1" w:themeShade="BF"/>
      <w:sz w:val="32"/>
      <w:szCs w:val="32"/>
      <w:lang w:val="uk-UA"/>
    </w:rPr>
  </w:style>
  <w:style w:type="table" w:styleId="a3">
    <w:name w:val="Table Grid"/>
    <w:basedOn w:val="a1"/>
    <w:uiPriority w:val="39"/>
    <w:rsid w:val="00EB7EB9"/>
    <w:pPr>
      <w:spacing w:before="0" w:after="0"/>
    </w:pPr>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B7EB9"/>
    <w:rPr>
      <w:rFonts w:ascii="Times New Roman" w:hAnsi="Times New Roman" w:cs="Times New Roman" w:hint="default"/>
      <w:b w:val="0"/>
      <w:bCs w:val="0"/>
      <w:i w:val="0"/>
      <w:iCs w:val="0"/>
      <w:color w:val="000000"/>
      <w:sz w:val="28"/>
      <w:szCs w:val="28"/>
    </w:rPr>
  </w:style>
  <w:style w:type="paragraph" w:styleId="a4">
    <w:name w:val="header"/>
    <w:basedOn w:val="a"/>
    <w:link w:val="a5"/>
    <w:uiPriority w:val="99"/>
    <w:unhideWhenUsed/>
    <w:rsid w:val="00EB7EB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EB7EB9"/>
    <w:rPr>
      <w:rFonts w:asciiTheme="minorHAnsi" w:hAnsiTheme="minorHAnsi" w:cstheme="minorBidi"/>
      <w:sz w:val="22"/>
      <w:szCs w:val="22"/>
      <w:lang w:val="uk-UA"/>
    </w:rPr>
  </w:style>
  <w:style w:type="paragraph" w:styleId="a6">
    <w:name w:val="Normal (Web)"/>
    <w:basedOn w:val="a"/>
    <w:uiPriority w:val="99"/>
    <w:semiHidden/>
    <w:unhideWhenUsed/>
    <w:rsid w:val="00EB7E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C80D9D"/>
    <w:pPr>
      <w:ind w:left="720"/>
      <w:contextualSpacing/>
    </w:pPr>
  </w:style>
  <w:style w:type="paragraph" w:styleId="a8">
    <w:name w:val="No Spacing"/>
    <w:uiPriority w:val="1"/>
    <w:qFormat/>
    <w:rsid w:val="005B483E"/>
    <w:pPr>
      <w:spacing w:before="0" w:after="0"/>
    </w:pPr>
    <w:rPr>
      <w:rFonts w:asciiTheme="minorHAnsi" w:hAnsiTheme="minorHAnsi" w:cstheme="minorBidi"/>
      <w:sz w:val="22"/>
      <w:szCs w:val="22"/>
      <w:lang w:val="uk-UA"/>
    </w:rPr>
  </w:style>
  <w:style w:type="character" w:customStyle="1" w:styleId="rvts0">
    <w:name w:val="rvts0"/>
    <w:basedOn w:val="a0"/>
    <w:rsid w:val="00FD3208"/>
  </w:style>
  <w:style w:type="character" w:customStyle="1" w:styleId="a9">
    <w:name w:val="Основний текст Знак"/>
    <w:basedOn w:val="a0"/>
    <w:link w:val="aa"/>
    <w:rsid w:val="003F3665"/>
    <w:rPr>
      <w:rFonts w:eastAsia="Times New Roman"/>
      <w:sz w:val="28"/>
      <w:szCs w:val="28"/>
      <w:shd w:val="clear" w:color="auto" w:fill="FFFFFF"/>
    </w:rPr>
  </w:style>
  <w:style w:type="paragraph" w:styleId="aa">
    <w:name w:val="Body Text"/>
    <w:basedOn w:val="a"/>
    <w:link w:val="a9"/>
    <w:qFormat/>
    <w:rsid w:val="003F3665"/>
    <w:pPr>
      <w:widowControl w:val="0"/>
      <w:shd w:val="clear" w:color="auto" w:fill="FFFFFF"/>
      <w:spacing w:after="0" w:line="259" w:lineRule="auto"/>
      <w:ind w:firstLine="400"/>
    </w:pPr>
    <w:rPr>
      <w:rFonts w:ascii="Times New Roman" w:eastAsia="Times New Roman" w:hAnsi="Times New Roman" w:cs="Times New Roman"/>
      <w:sz w:val="28"/>
      <w:szCs w:val="28"/>
      <w:lang w:val="ru-RU"/>
    </w:rPr>
  </w:style>
  <w:style w:type="character" w:customStyle="1" w:styleId="11">
    <w:name w:val="Основной текст Знак1"/>
    <w:basedOn w:val="a0"/>
    <w:uiPriority w:val="99"/>
    <w:semiHidden/>
    <w:rsid w:val="003F3665"/>
    <w:rPr>
      <w:rFonts w:asciiTheme="minorHAnsi" w:hAnsiTheme="minorHAnsi" w:cstheme="minorBidi"/>
      <w:sz w:val="22"/>
      <w:szCs w:val="22"/>
      <w:lang w:val="uk-UA"/>
    </w:rPr>
  </w:style>
  <w:style w:type="character" w:customStyle="1" w:styleId="rvts13">
    <w:name w:val="rvts13"/>
    <w:basedOn w:val="a0"/>
    <w:rsid w:val="003F3665"/>
  </w:style>
  <w:style w:type="paragraph" w:styleId="ab">
    <w:name w:val="footer"/>
    <w:basedOn w:val="a"/>
    <w:link w:val="ac"/>
    <w:uiPriority w:val="99"/>
    <w:unhideWhenUsed/>
    <w:rsid w:val="003F366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3F3665"/>
    <w:rPr>
      <w:rFonts w:asciiTheme="minorHAnsi" w:hAnsiTheme="minorHAnsi" w:cstheme="minorBidi"/>
      <w:sz w:val="22"/>
      <w:szCs w:val="22"/>
      <w:lang w:val="uk-UA"/>
    </w:rPr>
  </w:style>
  <w:style w:type="character" w:styleId="ad">
    <w:name w:val="Hyperlink"/>
    <w:basedOn w:val="a0"/>
    <w:uiPriority w:val="99"/>
    <w:unhideWhenUsed/>
    <w:rsid w:val="0008067D"/>
    <w:rPr>
      <w:color w:val="0000FF"/>
      <w:u w:val="single"/>
    </w:rPr>
  </w:style>
  <w:style w:type="character" w:styleId="ae">
    <w:name w:val="FollowedHyperlink"/>
    <w:basedOn w:val="a0"/>
    <w:uiPriority w:val="99"/>
    <w:semiHidden/>
    <w:unhideWhenUsed/>
    <w:rsid w:val="0008067D"/>
    <w:rPr>
      <w:color w:val="954F72" w:themeColor="followedHyperlink"/>
      <w:u w:val="single"/>
    </w:rPr>
  </w:style>
  <w:style w:type="paragraph" w:styleId="af">
    <w:name w:val="Balloon Text"/>
    <w:basedOn w:val="a"/>
    <w:link w:val="af0"/>
    <w:uiPriority w:val="99"/>
    <w:semiHidden/>
    <w:unhideWhenUsed/>
    <w:rsid w:val="00574093"/>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74093"/>
    <w:rPr>
      <w:rFonts w:ascii="Segoe UI" w:hAnsi="Segoe UI" w:cs="Segoe UI"/>
      <w:sz w:val="18"/>
      <w:szCs w:val="18"/>
      <w:lang w:val="uk-UA"/>
    </w:rPr>
  </w:style>
  <w:style w:type="paragraph" w:styleId="HTML">
    <w:name w:val="HTML Preformatted"/>
    <w:basedOn w:val="a"/>
    <w:link w:val="HTML0"/>
    <w:uiPriority w:val="99"/>
    <w:unhideWhenUsed/>
    <w:rsid w:val="00965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lang w:val="ru-RU" w:eastAsia="ru-RU"/>
    </w:rPr>
  </w:style>
  <w:style w:type="character" w:customStyle="1" w:styleId="HTML0">
    <w:name w:val="Стандартний HTML Знак"/>
    <w:basedOn w:val="a0"/>
    <w:link w:val="HTML"/>
    <w:uiPriority w:val="99"/>
    <w:rsid w:val="00965929"/>
    <w:rPr>
      <w:rFonts w:ascii="Courier New" w:eastAsia="Arial Unicode MS" w:hAnsi="Courier New"/>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854877">
      <w:bodyDiv w:val="1"/>
      <w:marLeft w:val="0"/>
      <w:marRight w:val="0"/>
      <w:marTop w:val="0"/>
      <w:marBottom w:val="0"/>
      <w:divBdr>
        <w:top w:val="none" w:sz="0" w:space="0" w:color="auto"/>
        <w:left w:val="none" w:sz="0" w:space="0" w:color="auto"/>
        <w:bottom w:val="none" w:sz="0" w:space="0" w:color="auto"/>
        <w:right w:val="none" w:sz="0" w:space="0" w:color="auto"/>
      </w:divBdr>
    </w:div>
    <w:div w:id="583297744">
      <w:bodyDiv w:val="1"/>
      <w:marLeft w:val="0"/>
      <w:marRight w:val="0"/>
      <w:marTop w:val="0"/>
      <w:marBottom w:val="0"/>
      <w:divBdr>
        <w:top w:val="none" w:sz="0" w:space="0" w:color="auto"/>
        <w:left w:val="none" w:sz="0" w:space="0" w:color="auto"/>
        <w:bottom w:val="none" w:sz="0" w:space="0" w:color="auto"/>
        <w:right w:val="none" w:sz="0" w:space="0" w:color="auto"/>
      </w:divBdr>
    </w:div>
    <w:div w:id="629626221">
      <w:bodyDiv w:val="1"/>
      <w:marLeft w:val="0"/>
      <w:marRight w:val="0"/>
      <w:marTop w:val="0"/>
      <w:marBottom w:val="0"/>
      <w:divBdr>
        <w:top w:val="none" w:sz="0" w:space="0" w:color="auto"/>
        <w:left w:val="none" w:sz="0" w:space="0" w:color="auto"/>
        <w:bottom w:val="none" w:sz="0" w:space="0" w:color="auto"/>
        <w:right w:val="none" w:sz="0" w:space="0" w:color="auto"/>
      </w:divBdr>
    </w:div>
    <w:div w:id="656108743">
      <w:bodyDiv w:val="1"/>
      <w:marLeft w:val="0"/>
      <w:marRight w:val="0"/>
      <w:marTop w:val="0"/>
      <w:marBottom w:val="0"/>
      <w:divBdr>
        <w:top w:val="none" w:sz="0" w:space="0" w:color="auto"/>
        <w:left w:val="none" w:sz="0" w:space="0" w:color="auto"/>
        <w:bottom w:val="none" w:sz="0" w:space="0" w:color="auto"/>
        <w:right w:val="none" w:sz="0" w:space="0" w:color="auto"/>
      </w:divBdr>
    </w:div>
    <w:div w:id="897859840">
      <w:bodyDiv w:val="1"/>
      <w:marLeft w:val="0"/>
      <w:marRight w:val="0"/>
      <w:marTop w:val="0"/>
      <w:marBottom w:val="0"/>
      <w:divBdr>
        <w:top w:val="none" w:sz="0" w:space="0" w:color="auto"/>
        <w:left w:val="none" w:sz="0" w:space="0" w:color="auto"/>
        <w:bottom w:val="none" w:sz="0" w:space="0" w:color="auto"/>
        <w:right w:val="none" w:sz="0" w:space="0" w:color="auto"/>
      </w:divBdr>
    </w:div>
    <w:div w:id="978075537">
      <w:bodyDiv w:val="1"/>
      <w:marLeft w:val="0"/>
      <w:marRight w:val="0"/>
      <w:marTop w:val="0"/>
      <w:marBottom w:val="0"/>
      <w:divBdr>
        <w:top w:val="none" w:sz="0" w:space="0" w:color="auto"/>
        <w:left w:val="none" w:sz="0" w:space="0" w:color="auto"/>
        <w:bottom w:val="none" w:sz="0" w:space="0" w:color="auto"/>
        <w:right w:val="none" w:sz="0" w:space="0" w:color="auto"/>
      </w:divBdr>
    </w:div>
    <w:div w:id="1072502830">
      <w:bodyDiv w:val="1"/>
      <w:marLeft w:val="0"/>
      <w:marRight w:val="0"/>
      <w:marTop w:val="0"/>
      <w:marBottom w:val="0"/>
      <w:divBdr>
        <w:top w:val="none" w:sz="0" w:space="0" w:color="auto"/>
        <w:left w:val="none" w:sz="0" w:space="0" w:color="auto"/>
        <w:bottom w:val="none" w:sz="0" w:space="0" w:color="auto"/>
        <w:right w:val="none" w:sz="0" w:space="0" w:color="auto"/>
      </w:divBdr>
    </w:div>
    <w:div w:id="1221941963">
      <w:bodyDiv w:val="1"/>
      <w:marLeft w:val="0"/>
      <w:marRight w:val="0"/>
      <w:marTop w:val="0"/>
      <w:marBottom w:val="0"/>
      <w:divBdr>
        <w:top w:val="none" w:sz="0" w:space="0" w:color="auto"/>
        <w:left w:val="none" w:sz="0" w:space="0" w:color="auto"/>
        <w:bottom w:val="none" w:sz="0" w:space="0" w:color="auto"/>
        <w:right w:val="none" w:sz="0" w:space="0" w:color="auto"/>
      </w:divBdr>
    </w:div>
    <w:div w:id="1369451773">
      <w:bodyDiv w:val="1"/>
      <w:marLeft w:val="0"/>
      <w:marRight w:val="0"/>
      <w:marTop w:val="0"/>
      <w:marBottom w:val="0"/>
      <w:divBdr>
        <w:top w:val="none" w:sz="0" w:space="0" w:color="auto"/>
        <w:left w:val="none" w:sz="0" w:space="0" w:color="auto"/>
        <w:bottom w:val="none" w:sz="0" w:space="0" w:color="auto"/>
        <w:right w:val="none" w:sz="0" w:space="0" w:color="auto"/>
      </w:divBdr>
    </w:div>
    <w:div w:id="1966617241">
      <w:bodyDiv w:val="1"/>
      <w:marLeft w:val="0"/>
      <w:marRight w:val="0"/>
      <w:marTop w:val="0"/>
      <w:marBottom w:val="0"/>
      <w:divBdr>
        <w:top w:val="none" w:sz="0" w:space="0" w:color="auto"/>
        <w:left w:val="none" w:sz="0" w:space="0" w:color="auto"/>
        <w:bottom w:val="none" w:sz="0" w:space="0" w:color="auto"/>
        <w:right w:val="none" w:sz="0" w:space="0" w:color="auto"/>
      </w:divBdr>
    </w:div>
    <w:div w:id="2086797397">
      <w:bodyDiv w:val="1"/>
      <w:marLeft w:val="0"/>
      <w:marRight w:val="0"/>
      <w:marTop w:val="0"/>
      <w:marBottom w:val="0"/>
      <w:divBdr>
        <w:top w:val="none" w:sz="0" w:space="0" w:color="auto"/>
        <w:left w:val="none" w:sz="0" w:space="0" w:color="auto"/>
        <w:bottom w:val="none" w:sz="0" w:space="0" w:color="auto"/>
        <w:right w:val="none" w:sz="0" w:space="0" w:color="auto"/>
      </w:divBdr>
      <w:divsChild>
        <w:div w:id="1109763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1943</Words>
  <Characters>11076</Characters>
  <Application>Microsoft Office Word</Application>
  <DocSecurity>0</DocSecurity>
  <Lines>92</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Borysov</dc:creator>
  <cp:keywords/>
  <dc:description/>
  <cp:lastModifiedBy>user</cp:lastModifiedBy>
  <cp:revision>8</cp:revision>
  <dcterms:created xsi:type="dcterms:W3CDTF">2021-09-24T07:35:00Z</dcterms:created>
  <dcterms:modified xsi:type="dcterms:W3CDTF">2021-11-23T07:22:00Z</dcterms:modified>
</cp:coreProperties>
</file>