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98EA" w14:textId="77777777" w:rsidR="0076699B" w:rsidRPr="0076699B" w:rsidRDefault="0076699B" w:rsidP="0076699B">
      <w:pPr>
        <w:jc w:val="center"/>
        <w:rPr>
          <w:rFonts w:ascii="Times New Roman" w:hAnsi="Times New Roman" w:cs="Times New Roman"/>
          <w:b/>
          <w:color w:val="000000"/>
          <w:sz w:val="28"/>
          <w:szCs w:val="28"/>
        </w:rPr>
      </w:pPr>
      <w:r w:rsidRPr="0076699B">
        <w:rPr>
          <w:rFonts w:ascii="Times New Roman" w:hAnsi="Times New Roman" w:cs="Times New Roman"/>
          <w:b/>
          <w:color w:val="000000"/>
          <w:sz w:val="28"/>
          <w:szCs w:val="28"/>
        </w:rPr>
        <w:t>АНАЛІЗ РЕГУЛЯТОРНОГО ВПЛИВУ</w:t>
      </w:r>
    </w:p>
    <w:p w14:paraId="007EFB4A" w14:textId="4A68BC48" w:rsidR="0076699B" w:rsidRPr="0076699B" w:rsidRDefault="0076699B" w:rsidP="0076699B">
      <w:pPr>
        <w:pStyle w:val="3"/>
        <w:spacing w:before="0" w:beforeAutospacing="0" w:after="0" w:afterAutospacing="0"/>
        <w:jc w:val="center"/>
        <w:rPr>
          <w:rFonts w:ascii="Times New Roman" w:hAnsi="Times New Roman"/>
          <w:b/>
          <w:bCs/>
          <w:color w:val="000000"/>
          <w:sz w:val="28"/>
          <w:szCs w:val="28"/>
          <w:lang w:val="uk-UA" w:eastAsia="uk-UA"/>
        </w:rPr>
      </w:pPr>
      <w:r w:rsidRPr="0076699B">
        <w:rPr>
          <w:rFonts w:ascii="Times New Roman" w:hAnsi="Times New Roman"/>
          <w:b/>
          <w:bCs/>
          <w:color w:val="000000"/>
          <w:sz w:val="28"/>
          <w:szCs w:val="28"/>
          <w:lang w:val="uk-UA" w:eastAsia="uk-UA"/>
        </w:rPr>
        <w:t>проекту постанови Кабінету Міністрів України «Про внесення змін до постанов</w:t>
      </w:r>
      <w:r w:rsidR="000C545D">
        <w:rPr>
          <w:rFonts w:ascii="Times New Roman" w:hAnsi="Times New Roman"/>
          <w:b/>
          <w:bCs/>
          <w:color w:val="000000"/>
          <w:sz w:val="28"/>
          <w:szCs w:val="28"/>
          <w:lang w:val="uk-UA" w:eastAsia="uk-UA"/>
        </w:rPr>
        <w:t>и</w:t>
      </w:r>
      <w:r w:rsidRPr="0076699B">
        <w:rPr>
          <w:rFonts w:ascii="Times New Roman" w:hAnsi="Times New Roman"/>
          <w:b/>
          <w:bCs/>
          <w:color w:val="000000"/>
          <w:sz w:val="28"/>
          <w:szCs w:val="28"/>
          <w:lang w:val="uk-UA" w:eastAsia="uk-UA"/>
        </w:rPr>
        <w:t xml:space="preserve"> Кабінету Міністрів України від 7 листопада 2018 р. № 992»</w:t>
      </w:r>
    </w:p>
    <w:p w14:paraId="227AF4CA" w14:textId="77777777" w:rsidR="0076699B" w:rsidRPr="0076699B" w:rsidRDefault="0076699B" w:rsidP="0076699B">
      <w:pPr>
        <w:pStyle w:val="3"/>
        <w:spacing w:before="0" w:beforeAutospacing="0" w:after="0" w:afterAutospacing="0"/>
        <w:jc w:val="center"/>
        <w:rPr>
          <w:rFonts w:ascii="Times New Roman" w:hAnsi="Times New Roman"/>
          <w:color w:val="000000"/>
          <w:sz w:val="28"/>
          <w:szCs w:val="28"/>
          <w:lang w:val="uk-UA"/>
        </w:rPr>
      </w:pPr>
    </w:p>
    <w:p w14:paraId="620DB7FB" w14:textId="77777777" w:rsidR="0076699B" w:rsidRPr="0076699B" w:rsidRDefault="0076699B" w:rsidP="0076699B">
      <w:pPr>
        <w:jc w:val="center"/>
        <w:rPr>
          <w:rFonts w:ascii="Times New Roman" w:hAnsi="Times New Roman" w:cs="Times New Roman"/>
          <w:b/>
          <w:color w:val="000000"/>
          <w:sz w:val="28"/>
          <w:szCs w:val="28"/>
        </w:rPr>
      </w:pPr>
      <w:r w:rsidRPr="0076699B">
        <w:rPr>
          <w:rFonts w:ascii="Times New Roman" w:hAnsi="Times New Roman" w:cs="Times New Roman"/>
          <w:b/>
          <w:color w:val="000000"/>
          <w:sz w:val="28"/>
          <w:szCs w:val="28"/>
        </w:rPr>
        <w:t>I. Визначення проблеми</w:t>
      </w:r>
    </w:p>
    <w:p w14:paraId="43581248" w14:textId="227AA464"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У рамках домовленостей, досягнутих під час 22-го Саміту Україна – ЄС, Українська Сторона та Сторона Європейського Союзу розробили</w:t>
      </w:r>
      <w:r w:rsidRPr="0076699B">
        <w:rPr>
          <w:rFonts w:ascii="Times New Roman" w:hAnsi="Times New Roman" w:cs="Times New Roman"/>
          <w:sz w:val="28"/>
          <w:szCs w:val="28"/>
        </w:rPr>
        <w:br/>
        <w:t>(у січні 2021 року – погодили) спільний робочий план співпраці між Європейським Союзом та Україною щодо електронних довірчих послуг з перспективою укладення можливої угоди, яка повинна базуватися на наближенні до законодавства та стандартів Європейського Союзу (лист Представництва Європейського Союзу в Україні від 20 січня 2021 року).</w:t>
      </w:r>
    </w:p>
    <w:p w14:paraId="24C21A24" w14:textId="31B1B194"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 xml:space="preserve">Основним актом законодавства Європейського Союзу, що встановлює загальні правові рамки для використання електронних довірчих послуг є Регламент (ЄС) № 910/2014 Європейського Парламенту та Ради </w:t>
      </w:r>
      <w:r>
        <w:rPr>
          <w:rFonts w:ascii="Times New Roman" w:hAnsi="Times New Roman" w:cs="Times New Roman"/>
          <w:sz w:val="28"/>
          <w:szCs w:val="28"/>
        </w:rPr>
        <w:br/>
      </w:r>
      <w:r w:rsidRPr="0076699B">
        <w:rPr>
          <w:rFonts w:ascii="Times New Roman" w:hAnsi="Times New Roman" w:cs="Times New Roman"/>
          <w:sz w:val="28"/>
          <w:szCs w:val="28"/>
        </w:rPr>
        <w:t>від 23 липня 2014 року про електронну ідентифікацію та довірчі послуги для електронних транзакцій в межах внутрішнього ринку та про скасування Директиви 1999/93/ЄС (далі – Регламент (ЄС) № 910/2014).</w:t>
      </w:r>
    </w:p>
    <w:p w14:paraId="4571A394"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У пункті 71 преамбули Регламенту (ЄС) № 910/2014 зазначено про необхідність визначення вихідних номерів стандартів, використання яких створить презумпцію відповідності певним вимогам, установленим у Регламенті (ЄС) № 910/2014.</w:t>
      </w:r>
    </w:p>
    <w:p w14:paraId="339D5010" w14:textId="67A11E71"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 xml:space="preserve">Натомість Законом України «Про електронні довірчі послуги», який визначає, зокрема, правові та організаційні засади надання електронних довірчих послуг та здійснення електронної ідентифікації, встановлено, що державне регулювання та управління у сферах електронних довірчих послуг та електронної ідентифікації здійснюється, зокрема, на засадах відповідності вимог до надання електронних довірчих послуг та електронної ідентифікації європейським та міжнародним стандартам </w:t>
      </w:r>
      <w:r w:rsidRPr="0076699B">
        <w:rPr>
          <w:rFonts w:ascii="Times New Roman" w:hAnsi="Times New Roman" w:cs="Times New Roman"/>
          <w:sz w:val="28"/>
          <w:szCs w:val="28"/>
        </w:rPr>
        <w:br/>
        <w:t>(абзац сьомий частини першої статті 4 зазначеного Закону).</w:t>
      </w:r>
    </w:p>
    <w:p w14:paraId="351553D9"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Так, згідно з абзацом сьомим частини першої статті 13 Закону України «Про електронні довірчі послуги» кваліфіковані надавачі електронних довірчих послуг мають право, зокрема, самостійно обирати, які саме стандарти будуть ними застосовуватися при наданні довірчих послуг з переліку стандартів, визначеного Кабінетом Міністрів України, крім сфери спеціального зв’язку.</w:t>
      </w:r>
    </w:p>
    <w:p w14:paraId="0E3E841A"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На виконання зазначеного положення Закону України «Про електронні довірчі послуги» визначено Перелік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затверджених постановою Кабінету Міністрів України від 7 листопада 2018 р. № 992.</w:t>
      </w:r>
    </w:p>
    <w:p w14:paraId="0F5E8BE0"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lastRenderedPageBreak/>
        <w:t>Протягом періоду дії зазначеної постанови Національним органом стандартизації (державне підприємство «Український науково-дослідний і навчальний центр проблем стандартизації, сертифікації та якості») прийнято та скасовано низку національних стандартів, гармонізованих з європейськими та міжнародними стандартами у сфері електронних довірчих послуг.</w:t>
      </w:r>
    </w:p>
    <w:p w14:paraId="3928CD38"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Отже Перелік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затверджених постановою Кабінету Міністрів України</w:t>
      </w:r>
      <w:r w:rsidRPr="0076699B">
        <w:rPr>
          <w:rFonts w:ascii="Times New Roman" w:hAnsi="Times New Roman" w:cs="Times New Roman"/>
          <w:sz w:val="28"/>
          <w:szCs w:val="28"/>
        </w:rPr>
        <w:br/>
        <w:t>від 7 листопада 2018 р. № 992, потребує актуалізації.</w:t>
      </w:r>
    </w:p>
    <w:p w14:paraId="6D55A3B3" w14:textId="2B19D40E"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 xml:space="preserve">Також положення вимог у сфері електронних довірчих послуг, затверджених постановою Кабінету Міністрів України від 7 листопада </w:t>
      </w:r>
      <w:r w:rsidRPr="0076699B">
        <w:rPr>
          <w:rFonts w:ascii="Times New Roman" w:hAnsi="Times New Roman" w:cs="Times New Roman"/>
          <w:sz w:val="28"/>
          <w:szCs w:val="28"/>
        </w:rPr>
        <w:br/>
        <w:t>2018 р. № 992, що стосуються страхування цивільно-правової відповідальності для забезпечення відшкодування збитків, які можуть бути завдані користувачам чи третім особам внаслідок неналежного виконання кваліфікованими надавачами електронних довірчих послуг та їх відокремленими пунктами реєстрації своїх зобов’язань, потребують приведення у відповідність до термінології, запровадженої у зв’язку з прийняттям Закону України від 18 листопада 2021 р. № 1909-IX «Про страхування», який набирає чинності з дня, наступного за днем його опублікування, та вводиться в дію з 1 січня 2024 року.</w:t>
      </w:r>
    </w:p>
    <w:p w14:paraId="77EBBC3F" w14:textId="7A71284D"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Наразі в Україні функціонують 19 кваліфікованих надавачів електронних довірчих послуг, відомості про яких внесено до Довірчого списку. З них 12 кваліфікованих надавачів електронних довірчих послуг є суб’єктами господарювання.</w:t>
      </w:r>
    </w:p>
    <w:p w14:paraId="38E09B25"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Враховуючи викладене, регуляторний акт матиме регуляторний вплив на 12 кваліфікованих надавачів електронних довірчих послуг, що є суб’єктами господарювання.</w:t>
      </w:r>
    </w:p>
    <w:p w14:paraId="1BAC9DBB"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sz w:val="28"/>
          <w:szCs w:val="28"/>
        </w:rPr>
        <w:t xml:space="preserve">Основною причиною виникнення проблеми, на вирішення якої спрямований регуляторний акт, є потреба в подальшому розвитку сфери електронних довірчих послуг, зокрема шляхом </w:t>
      </w:r>
      <w:r w:rsidRPr="0076699B">
        <w:rPr>
          <w:rFonts w:ascii="Times New Roman" w:hAnsi="Times New Roman" w:cs="Times New Roman"/>
          <w:color w:val="000000"/>
          <w:sz w:val="28"/>
          <w:szCs w:val="28"/>
        </w:rPr>
        <w:t>наближення до законодавства та стандартів Європейського Союзу в сфері електронних довірчих послуг.</w:t>
      </w:r>
    </w:p>
    <w:p w14:paraId="482BC6C1"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Важливість проблеми, на вирішення якої спрямований регуляторний акт, оцінюється як висока з огляду на необхідність виконання завдань, визначених спільним робочим планом співпраці між Європейським Союзом та Україною щодо електронних довірчих послуг з перспективою укладення можливої угоди, яка повинна базуватися на наближенні до законодавства та стандартів Європейського Союзу (лист Представництва Європейського Союзу в Україні від 20 січня 2021 року).</w:t>
      </w:r>
    </w:p>
    <w:p w14:paraId="5274C051" w14:textId="77777777" w:rsidR="0076699B" w:rsidRPr="0076699B" w:rsidRDefault="0076699B" w:rsidP="0076699B">
      <w:pPr>
        <w:ind w:firstLine="709"/>
        <w:jc w:val="both"/>
        <w:rPr>
          <w:rFonts w:ascii="Times New Roman" w:hAnsi="Times New Roman" w:cs="Times New Roman"/>
          <w:color w:val="000000"/>
          <w:sz w:val="28"/>
          <w:szCs w:val="28"/>
        </w:rPr>
      </w:pPr>
    </w:p>
    <w:p w14:paraId="6402B3F9" w14:textId="77777777" w:rsidR="0076699B" w:rsidRPr="0076699B" w:rsidRDefault="0076699B" w:rsidP="0076699B">
      <w:pPr>
        <w:jc w:val="center"/>
        <w:rPr>
          <w:rFonts w:ascii="Times New Roman" w:hAnsi="Times New Roman" w:cs="Times New Roman"/>
          <w:b/>
          <w:bCs/>
          <w:color w:val="000000"/>
          <w:sz w:val="28"/>
          <w:szCs w:val="28"/>
        </w:rPr>
      </w:pPr>
      <w:r w:rsidRPr="0076699B">
        <w:rPr>
          <w:rFonts w:ascii="Times New Roman" w:hAnsi="Times New Roman" w:cs="Times New Roman"/>
          <w:b/>
          <w:bCs/>
          <w:color w:val="000000"/>
          <w:sz w:val="28"/>
          <w:szCs w:val="28"/>
        </w:rPr>
        <w:t>Основні групи (підгрупи),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2488"/>
        <w:gridCol w:w="2468"/>
      </w:tblGrid>
      <w:tr w:rsidR="0076699B" w:rsidRPr="0076699B" w14:paraId="554EDD75" w14:textId="77777777" w:rsidTr="00552412">
        <w:tc>
          <w:tcPr>
            <w:tcW w:w="4360" w:type="dxa"/>
            <w:shd w:val="clear" w:color="auto" w:fill="auto"/>
          </w:tcPr>
          <w:p w14:paraId="56BF3B69" w14:textId="77777777" w:rsidR="0076699B" w:rsidRPr="0076699B" w:rsidRDefault="0076699B" w:rsidP="00552412">
            <w:pPr>
              <w:pStyle w:val="a7"/>
              <w:spacing w:before="0" w:beforeAutospacing="0" w:after="0" w:afterAutospacing="0"/>
              <w:jc w:val="center"/>
              <w:rPr>
                <w:b/>
                <w:color w:val="000000"/>
              </w:rPr>
            </w:pPr>
            <w:r w:rsidRPr="0076699B">
              <w:rPr>
                <w:b/>
                <w:color w:val="000000"/>
              </w:rPr>
              <w:lastRenderedPageBreak/>
              <w:t>Групи (підгрупи)</w:t>
            </w:r>
          </w:p>
        </w:tc>
        <w:tc>
          <w:tcPr>
            <w:tcW w:w="2747" w:type="dxa"/>
            <w:shd w:val="clear" w:color="auto" w:fill="auto"/>
          </w:tcPr>
          <w:p w14:paraId="015710D4" w14:textId="77777777" w:rsidR="0076699B" w:rsidRPr="0076699B" w:rsidRDefault="0076699B" w:rsidP="00552412">
            <w:pPr>
              <w:pStyle w:val="a7"/>
              <w:spacing w:before="0" w:beforeAutospacing="0" w:after="0" w:afterAutospacing="0"/>
              <w:jc w:val="center"/>
              <w:rPr>
                <w:b/>
                <w:color w:val="000000"/>
              </w:rPr>
            </w:pPr>
            <w:r w:rsidRPr="0076699B">
              <w:rPr>
                <w:b/>
                <w:color w:val="000000"/>
              </w:rPr>
              <w:t>Так</w:t>
            </w:r>
          </w:p>
        </w:tc>
        <w:tc>
          <w:tcPr>
            <w:tcW w:w="2747" w:type="dxa"/>
            <w:shd w:val="clear" w:color="auto" w:fill="auto"/>
          </w:tcPr>
          <w:p w14:paraId="042D34CA" w14:textId="77777777" w:rsidR="0076699B" w:rsidRPr="0076699B" w:rsidRDefault="0076699B" w:rsidP="00552412">
            <w:pPr>
              <w:pStyle w:val="a7"/>
              <w:spacing w:before="0" w:beforeAutospacing="0" w:after="0" w:afterAutospacing="0"/>
              <w:jc w:val="center"/>
              <w:rPr>
                <w:b/>
                <w:color w:val="000000"/>
              </w:rPr>
            </w:pPr>
            <w:r w:rsidRPr="0076699B">
              <w:rPr>
                <w:b/>
                <w:color w:val="000000"/>
              </w:rPr>
              <w:t>Ні</w:t>
            </w:r>
          </w:p>
        </w:tc>
      </w:tr>
      <w:tr w:rsidR="0076699B" w:rsidRPr="0076699B" w14:paraId="539D3076" w14:textId="77777777" w:rsidTr="00552412">
        <w:tc>
          <w:tcPr>
            <w:tcW w:w="4360" w:type="dxa"/>
            <w:shd w:val="clear" w:color="auto" w:fill="auto"/>
          </w:tcPr>
          <w:p w14:paraId="4D92C00E" w14:textId="77777777" w:rsidR="0076699B" w:rsidRPr="0076699B" w:rsidRDefault="0076699B" w:rsidP="00552412">
            <w:pPr>
              <w:pStyle w:val="a7"/>
              <w:spacing w:before="0" w:beforeAutospacing="0" w:after="0" w:afterAutospacing="0"/>
              <w:jc w:val="both"/>
              <w:rPr>
                <w:color w:val="000000"/>
              </w:rPr>
            </w:pPr>
            <w:r w:rsidRPr="0076699B">
              <w:rPr>
                <w:color w:val="000000"/>
              </w:rPr>
              <w:t>Громадяни</w:t>
            </w:r>
          </w:p>
        </w:tc>
        <w:tc>
          <w:tcPr>
            <w:tcW w:w="2747" w:type="dxa"/>
            <w:shd w:val="clear" w:color="auto" w:fill="auto"/>
          </w:tcPr>
          <w:p w14:paraId="11DEBEEB" w14:textId="77777777" w:rsidR="0076699B" w:rsidRPr="0076699B" w:rsidRDefault="0076699B" w:rsidP="00552412">
            <w:pPr>
              <w:pStyle w:val="a7"/>
              <w:spacing w:before="0" w:beforeAutospacing="0" w:after="0" w:afterAutospacing="0"/>
              <w:jc w:val="center"/>
              <w:rPr>
                <w:color w:val="000000"/>
              </w:rPr>
            </w:pPr>
          </w:p>
        </w:tc>
        <w:tc>
          <w:tcPr>
            <w:tcW w:w="2747" w:type="dxa"/>
            <w:shd w:val="clear" w:color="auto" w:fill="auto"/>
          </w:tcPr>
          <w:p w14:paraId="294EEB14" w14:textId="77777777" w:rsidR="0076699B" w:rsidRPr="0076699B" w:rsidRDefault="0076699B" w:rsidP="00552412">
            <w:pPr>
              <w:pStyle w:val="a7"/>
              <w:spacing w:before="0" w:beforeAutospacing="0" w:after="0" w:afterAutospacing="0"/>
              <w:jc w:val="center"/>
              <w:rPr>
                <w:color w:val="000000"/>
              </w:rPr>
            </w:pPr>
            <w:r w:rsidRPr="0076699B">
              <w:rPr>
                <w:color w:val="000000"/>
              </w:rPr>
              <w:t>-</w:t>
            </w:r>
          </w:p>
        </w:tc>
      </w:tr>
      <w:tr w:rsidR="0076699B" w:rsidRPr="0076699B" w14:paraId="1A0C2A1C" w14:textId="77777777" w:rsidTr="00552412">
        <w:tc>
          <w:tcPr>
            <w:tcW w:w="4360" w:type="dxa"/>
            <w:shd w:val="clear" w:color="auto" w:fill="auto"/>
          </w:tcPr>
          <w:p w14:paraId="505902AC" w14:textId="77777777" w:rsidR="0076699B" w:rsidRPr="0076699B" w:rsidRDefault="0076699B" w:rsidP="00552412">
            <w:pPr>
              <w:pStyle w:val="a7"/>
              <w:spacing w:before="0" w:beforeAutospacing="0" w:after="0" w:afterAutospacing="0"/>
              <w:jc w:val="both"/>
              <w:rPr>
                <w:color w:val="000000"/>
              </w:rPr>
            </w:pPr>
            <w:r w:rsidRPr="0076699B">
              <w:rPr>
                <w:color w:val="000000"/>
              </w:rPr>
              <w:t>Держава</w:t>
            </w:r>
          </w:p>
        </w:tc>
        <w:tc>
          <w:tcPr>
            <w:tcW w:w="2747" w:type="dxa"/>
            <w:shd w:val="clear" w:color="auto" w:fill="auto"/>
          </w:tcPr>
          <w:p w14:paraId="01C8583B" w14:textId="77777777" w:rsidR="0076699B" w:rsidRPr="0076699B" w:rsidRDefault="0076699B" w:rsidP="00552412">
            <w:pPr>
              <w:pStyle w:val="a7"/>
              <w:spacing w:before="0" w:beforeAutospacing="0" w:after="0" w:afterAutospacing="0"/>
              <w:jc w:val="center"/>
              <w:rPr>
                <w:color w:val="000000"/>
              </w:rPr>
            </w:pPr>
          </w:p>
        </w:tc>
        <w:tc>
          <w:tcPr>
            <w:tcW w:w="2747" w:type="dxa"/>
            <w:shd w:val="clear" w:color="auto" w:fill="auto"/>
          </w:tcPr>
          <w:p w14:paraId="7DED7771" w14:textId="77777777" w:rsidR="0076699B" w:rsidRPr="0076699B" w:rsidRDefault="0076699B" w:rsidP="00552412">
            <w:pPr>
              <w:pStyle w:val="a7"/>
              <w:spacing w:before="0" w:beforeAutospacing="0" w:after="0" w:afterAutospacing="0"/>
              <w:jc w:val="center"/>
              <w:rPr>
                <w:color w:val="000000"/>
              </w:rPr>
            </w:pPr>
            <w:r w:rsidRPr="0076699B">
              <w:rPr>
                <w:color w:val="000000"/>
              </w:rPr>
              <w:t>-</w:t>
            </w:r>
          </w:p>
        </w:tc>
      </w:tr>
      <w:tr w:rsidR="0076699B" w:rsidRPr="0076699B" w14:paraId="31257447" w14:textId="77777777" w:rsidTr="00552412">
        <w:tc>
          <w:tcPr>
            <w:tcW w:w="4360" w:type="dxa"/>
            <w:shd w:val="clear" w:color="auto" w:fill="auto"/>
          </w:tcPr>
          <w:p w14:paraId="5FB8288C" w14:textId="77777777" w:rsidR="0076699B" w:rsidRPr="0076699B" w:rsidRDefault="0076699B" w:rsidP="00552412">
            <w:pPr>
              <w:pStyle w:val="a7"/>
              <w:spacing w:before="0" w:beforeAutospacing="0" w:after="0" w:afterAutospacing="0"/>
              <w:jc w:val="both"/>
              <w:rPr>
                <w:color w:val="000000"/>
              </w:rPr>
            </w:pPr>
            <w:r w:rsidRPr="0076699B">
              <w:rPr>
                <w:color w:val="000000"/>
              </w:rPr>
              <w:t>Суб’єкти господарювання</w:t>
            </w:r>
          </w:p>
        </w:tc>
        <w:tc>
          <w:tcPr>
            <w:tcW w:w="2747" w:type="dxa"/>
            <w:shd w:val="clear" w:color="auto" w:fill="auto"/>
          </w:tcPr>
          <w:p w14:paraId="36F85B6D" w14:textId="77777777" w:rsidR="0076699B" w:rsidRPr="0076699B" w:rsidRDefault="0076699B" w:rsidP="00552412">
            <w:pPr>
              <w:pStyle w:val="a7"/>
              <w:spacing w:before="0" w:beforeAutospacing="0" w:after="0" w:afterAutospacing="0"/>
              <w:jc w:val="center"/>
              <w:rPr>
                <w:color w:val="000000"/>
              </w:rPr>
            </w:pPr>
            <w:r w:rsidRPr="0076699B">
              <w:rPr>
                <w:color w:val="000000"/>
              </w:rPr>
              <w:t>+</w:t>
            </w:r>
          </w:p>
        </w:tc>
        <w:tc>
          <w:tcPr>
            <w:tcW w:w="2747" w:type="dxa"/>
            <w:shd w:val="clear" w:color="auto" w:fill="auto"/>
          </w:tcPr>
          <w:p w14:paraId="70D832E5" w14:textId="77777777" w:rsidR="0076699B" w:rsidRPr="0076699B" w:rsidRDefault="0076699B" w:rsidP="00552412">
            <w:pPr>
              <w:pStyle w:val="a7"/>
              <w:spacing w:before="0" w:beforeAutospacing="0" w:after="0" w:afterAutospacing="0"/>
              <w:jc w:val="center"/>
              <w:rPr>
                <w:color w:val="000000"/>
              </w:rPr>
            </w:pPr>
          </w:p>
        </w:tc>
      </w:tr>
      <w:tr w:rsidR="0076699B" w:rsidRPr="0076699B" w14:paraId="7603C319" w14:textId="77777777" w:rsidTr="00552412">
        <w:trPr>
          <w:trHeight w:val="341"/>
        </w:trPr>
        <w:tc>
          <w:tcPr>
            <w:tcW w:w="4360" w:type="dxa"/>
            <w:shd w:val="clear" w:color="auto" w:fill="auto"/>
          </w:tcPr>
          <w:p w14:paraId="04EA8FA7" w14:textId="77777777" w:rsidR="0076699B" w:rsidRPr="0076699B" w:rsidRDefault="0076699B" w:rsidP="00552412">
            <w:pPr>
              <w:pStyle w:val="a7"/>
              <w:spacing w:before="0" w:beforeAutospacing="0" w:after="0" w:afterAutospacing="0"/>
              <w:jc w:val="both"/>
              <w:rPr>
                <w:color w:val="000000"/>
              </w:rPr>
            </w:pPr>
            <w:r w:rsidRPr="0076699B">
              <w:rPr>
                <w:color w:val="000000"/>
              </w:rPr>
              <w:t>у тому числі суб’єкти малого підприємництва</w:t>
            </w:r>
          </w:p>
        </w:tc>
        <w:tc>
          <w:tcPr>
            <w:tcW w:w="2747" w:type="dxa"/>
            <w:shd w:val="clear" w:color="auto" w:fill="auto"/>
          </w:tcPr>
          <w:p w14:paraId="3595B490" w14:textId="77777777" w:rsidR="0076699B" w:rsidRPr="0076699B" w:rsidRDefault="0076699B" w:rsidP="00552412">
            <w:pPr>
              <w:pStyle w:val="a7"/>
              <w:spacing w:before="0" w:beforeAutospacing="0" w:after="0" w:afterAutospacing="0"/>
              <w:jc w:val="center"/>
              <w:rPr>
                <w:color w:val="000000"/>
              </w:rPr>
            </w:pPr>
            <w:r w:rsidRPr="0076699B">
              <w:rPr>
                <w:color w:val="000000"/>
              </w:rPr>
              <w:t>+</w:t>
            </w:r>
            <w:r w:rsidRPr="0076699B">
              <w:rPr>
                <w:color w:val="000000"/>
                <w:vertAlign w:val="superscript"/>
              </w:rPr>
              <w:t>1</w:t>
            </w:r>
          </w:p>
        </w:tc>
        <w:tc>
          <w:tcPr>
            <w:tcW w:w="2747" w:type="dxa"/>
            <w:shd w:val="clear" w:color="auto" w:fill="auto"/>
          </w:tcPr>
          <w:p w14:paraId="4B3CC94F" w14:textId="77777777" w:rsidR="0076699B" w:rsidRPr="0076699B" w:rsidRDefault="0076699B" w:rsidP="00552412">
            <w:pPr>
              <w:pStyle w:val="a7"/>
              <w:spacing w:before="0" w:beforeAutospacing="0" w:after="0" w:afterAutospacing="0"/>
              <w:jc w:val="center"/>
              <w:rPr>
                <w:color w:val="000000"/>
              </w:rPr>
            </w:pPr>
          </w:p>
        </w:tc>
      </w:tr>
    </w:tbl>
    <w:p w14:paraId="09608966" w14:textId="77777777" w:rsidR="0076699B" w:rsidRPr="0076699B" w:rsidRDefault="0076699B" w:rsidP="0076699B">
      <w:pPr>
        <w:pStyle w:val="3"/>
        <w:spacing w:before="0" w:beforeAutospacing="0" w:after="0" w:afterAutospacing="0"/>
        <w:jc w:val="both"/>
        <w:rPr>
          <w:rFonts w:ascii="Times New Roman" w:hAnsi="Times New Roman"/>
          <w:color w:val="000000"/>
          <w:sz w:val="20"/>
          <w:szCs w:val="20"/>
          <w:lang w:val="uk-UA"/>
        </w:rPr>
      </w:pPr>
      <w:r w:rsidRPr="0076699B">
        <w:rPr>
          <w:rFonts w:ascii="Times New Roman" w:hAnsi="Times New Roman"/>
          <w:color w:val="000000"/>
          <w:sz w:val="20"/>
          <w:szCs w:val="20"/>
          <w:lang w:val="uk-UA"/>
        </w:rPr>
        <w:t>_______________</w:t>
      </w:r>
    </w:p>
    <w:p w14:paraId="5783D682"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0"/>
          <w:szCs w:val="20"/>
          <w:lang w:val="uk-UA"/>
        </w:rPr>
      </w:pPr>
      <w:r w:rsidRPr="0076699B">
        <w:rPr>
          <w:rFonts w:ascii="Times New Roman" w:hAnsi="Times New Roman"/>
          <w:color w:val="000000"/>
          <w:sz w:val="20"/>
          <w:szCs w:val="20"/>
          <w:vertAlign w:val="superscript"/>
          <w:lang w:val="uk-UA"/>
        </w:rPr>
        <w:t>1</w:t>
      </w:r>
      <w:r w:rsidRPr="0076699B">
        <w:rPr>
          <w:rFonts w:ascii="Times New Roman" w:hAnsi="Times New Roman"/>
          <w:color w:val="000000"/>
          <w:sz w:val="20"/>
          <w:szCs w:val="20"/>
          <w:lang w:val="uk-UA"/>
        </w:rPr>
        <w:t xml:space="preserve"> Питома вага суб’єктів малого підприємництва у загальній кількості суб’єктів господарювання, на яких впливає проблема, перевищує 10%.</w:t>
      </w:r>
    </w:p>
    <w:p w14:paraId="77C92BDD"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8"/>
          <w:szCs w:val="28"/>
          <w:lang w:val="uk-UA"/>
        </w:rPr>
      </w:pPr>
    </w:p>
    <w:p w14:paraId="7BA4BA0A"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II. Цілі державного регулювання</w:t>
      </w:r>
    </w:p>
    <w:p w14:paraId="7981FC1A"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Метою прийняття регуляторного акта є наближення до законодавства та стандартів Європейського Союзу в сфері електронних довірчих послуг.</w:t>
      </w:r>
    </w:p>
    <w:p w14:paraId="0AB175FF" w14:textId="77777777" w:rsidR="0076699B" w:rsidRPr="0076699B" w:rsidRDefault="0076699B" w:rsidP="0076699B">
      <w:pPr>
        <w:ind w:firstLine="709"/>
        <w:jc w:val="both"/>
        <w:rPr>
          <w:rFonts w:ascii="Times New Roman" w:hAnsi="Times New Roman" w:cs="Times New Roman"/>
          <w:sz w:val="28"/>
          <w:szCs w:val="28"/>
        </w:rPr>
      </w:pPr>
      <w:r w:rsidRPr="0076699B">
        <w:rPr>
          <w:rFonts w:ascii="Times New Roman" w:hAnsi="Times New Roman" w:cs="Times New Roman"/>
          <w:sz w:val="28"/>
          <w:szCs w:val="28"/>
        </w:rPr>
        <w:t>На наближенні до законодавства та стандартів Європейського Союзу повинна базуватися можлива угода, перспектива укладення якої визначена завданнями спільного робочого плану співпраці між Європейським Союзом та Україною щодо електронних довірчих послуг (лист Представництва Європейського Союзу в Україні від 20 січня 2021 року).</w:t>
      </w:r>
    </w:p>
    <w:p w14:paraId="5508778D" w14:textId="77777777" w:rsidR="0076699B" w:rsidRPr="0076699B" w:rsidRDefault="0076699B" w:rsidP="0076699B">
      <w:pPr>
        <w:ind w:firstLine="709"/>
        <w:jc w:val="both"/>
        <w:rPr>
          <w:rFonts w:ascii="Times New Roman" w:hAnsi="Times New Roman" w:cs="Times New Roman"/>
          <w:color w:val="000000"/>
          <w:sz w:val="28"/>
          <w:szCs w:val="28"/>
        </w:rPr>
      </w:pPr>
    </w:p>
    <w:p w14:paraId="40DF33BD"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III. Визначення та оцінка альтернативних способів досягнення цілей</w:t>
      </w:r>
    </w:p>
    <w:p w14:paraId="4DD0B97E" w14:textId="77777777" w:rsidR="0076699B" w:rsidRPr="0076699B" w:rsidRDefault="0076699B" w:rsidP="0076699B">
      <w:pPr>
        <w:pStyle w:val="a7"/>
        <w:spacing w:before="0" w:beforeAutospacing="0" w:after="0" w:afterAutospacing="0"/>
        <w:ind w:firstLine="709"/>
        <w:jc w:val="center"/>
        <w:rPr>
          <w:b/>
          <w:color w:val="000000"/>
          <w:sz w:val="28"/>
          <w:szCs w:val="28"/>
        </w:rPr>
      </w:pPr>
      <w:r w:rsidRPr="0076699B">
        <w:rPr>
          <w:b/>
          <w:color w:val="000000"/>
          <w:sz w:val="28"/>
          <w:szCs w:val="28"/>
        </w:rPr>
        <w:t>1. Визначення альтернативних способів</w:t>
      </w:r>
    </w:p>
    <w:p w14:paraId="5B68FCD3"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Під час розробки регуляторного акта було розглянуто такі альтернативні способи досягнення визначених цілей державного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849"/>
      </w:tblGrid>
      <w:tr w:rsidR="0076699B" w:rsidRPr="0076699B" w14:paraId="6232A7B7" w14:textId="77777777" w:rsidTr="00552412">
        <w:tc>
          <w:tcPr>
            <w:tcW w:w="2235" w:type="dxa"/>
            <w:shd w:val="clear" w:color="auto" w:fill="auto"/>
          </w:tcPr>
          <w:p w14:paraId="65B813A0" w14:textId="77777777" w:rsidR="0076699B" w:rsidRPr="0076699B" w:rsidRDefault="0076699B" w:rsidP="00552412">
            <w:pPr>
              <w:jc w:val="center"/>
              <w:rPr>
                <w:rFonts w:ascii="Times New Roman" w:hAnsi="Times New Roman" w:cs="Times New Roman"/>
                <w:b/>
                <w:color w:val="000000"/>
              </w:rPr>
            </w:pPr>
            <w:r w:rsidRPr="0076699B">
              <w:rPr>
                <w:rFonts w:ascii="Times New Roman" w:hAnsi="Times New Roman" w:cs="Times New Roman"/>
                <w:b/>
                <w:color w:val="000000"/>
              </w:rPr>
              <w:t>Вид альтернативи</w:t>
            </w:r>
          </w:p>
        </w:tc>
        <w:tc>
          <w:tcPr>
            <w:tcW w:w="7618" w:type="dxa"/>
            <w:shd w:val="clear" w:color="auto" w:fill="auto"/>
          </w:tcPr>
          <w:p w14:paraId="61D5CD52" w14:textId="77777777" w:rsidR="0076699B" w:rsidRPr="0076699B" w:rsidRDefault="0076699B" w:rsidP="00552412">
            <w:pPr>
              <w:pStyle w:val="a7"/>
              <w:spacing w:before="0" w:beforeAutospacing="0" w:after="0" w:afterAutospacing="0"/>
              <w:jc w:val="center"/>
              <w:rPr>
                <w:b/>
                <w:color w:val="000000"/>
              </w:rPr>
            </w:pPr>
            <w:r w:rsidRPr="0076699B">
              <w:rPr>
                <w:b/>
                <w:color w:val="000000"/>
              </w:rPr>
              <w:t>Опис альтернативи</w:t>
            </w:r>
          </w:p>
        </w:tc>
      </w:tr>
      <w:tr w:rsidR="0076699B" w:rsidRPr="0076699B" w14:paraId="35AB3AFB" w14:textId="77777777" w:rsidTr="00552412">
        <w:tc>
          <w:tcPr>
            <w:tcW w:w="2235" w:type="dxa"/>
            <w:shd w:val="clear" w:color="auto" w:fill="auto"/>
          </w:tcPr>
          <w:p w14:paraId="4C590B05" w14:textId="77777777" w:rsidR="0076699B" w:rsidRPr="0076699B" w:rsidRDefault="0076699B" w:rsidP="00552412">
            <w:pPr>
              <w:rPr>
                <w:rFonts w:ascii="Times New Roman" w:hAnsi="Times New Roman" w:cs="Times New Roman"/>
                <w:color w:val="000000"/>
              </w:rPr>
            </w:pPr>
            <w:r w:rsidRPr="0076699B">
              <w:rPr>
                <w:rFonts w:ascii="Times New Roman" w:hAnsi="Times New Roman" w:cs="Times New Roman"/>
                <w:color w:val="000000"/>
              </w:rPr>
              <w:t>Альтернатива 1</w:t>
            </w:r>
          </w:p>
          <w:p w14:paraId="0F089C1B" w14:textId="77777777" w:rsidR="0076699B" w:rsidRPr="0076699B" w:rsidRDefault="0076699B" w:rsidP="00552412">
            <w:pPr>
              <w:rPr>
                <w:rFonts w:ascii="Times New Roman" w:hAnsi="Times New Roman" w:cs="Times New Roman"/>
                <w:color w:val="000000"/>
              </w:rPr>
            </w:pPr>
            <w:r w:rsidRPr="0076699B">
              <w:rPr>
                <w:rFonts w:ascii="Times New Roman" w:hAnsi="Times New Roman" w:cs="Times New Roman"/>
                <w:color w:val="000000"/>
              </w:rPr>
              <w:t>Прийняття регуляторного акта</w:t>
            </w:r>
          </w:p>
        </w:tc>
        <w:tc>
          <w:tcPr>
            <w:tcW w:w="7618" w:type="dxa"/>
            <w:shd w:val="clear" w:color="auto" w:fill="auto"/>
          </w:tcPr>
          <w:p w14:paraId="585970C1"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Прийняття регуляторного акта забезпечить подальший розвиток сфери електронних довірчих послуг шляхом:</w:t>
            </w:r>
          </w:p>
          <w:p w14:paraId="22C9E036" w14:textId="4E4C17DF" w:rsidR="0076699B" w:rsidRPr="0076699B" w:rsidRDefault="0076699B" w:rsidP="00D50826">
            <w:pPr>
              <w:pStyle w:val="a7"/>
              <w:spacing w:before="0" w:beforeAutospacing="0" w:after="0" w:afterAutospacing="0"/>
              <w:ind w:firstLine="459"/>
              <w:jc w:val="both"/>
              <w:rPr>
                <w:color w:val="000000"/>
              </w:rPr>
            </w:pPr>
            <w:r w:rsidRPr="0076699B">
              <w:rPr>
                <w:color w:val="000000"/>
              </w:rPr>
              <w:t xml:space="preserve">актуалізації Переліку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затверджених постановою Кабінету Міністрів України </w:t>
            </w:r>
            <w:r w:rsidRPr="0076699B">
              <w:rPr>
                <w:color w:val="000000"/>
              </w:rPr>
              <w:br/>
              <w:t>від 7 листопада 2018 р. № 992</w:t>
            </w:r>
          </w:p>
        </w:tc>
      </w:tr>
      <w:tr w:rsidR="0076699B" w:rsidRPr="0076699B" w14:paraId="7B9B7F84" w14:textId="77777777" w:rsidTr="00552412">
        <w:tc>
          <w:tcPr>
            <w:tcW w:w="2235" w:type="dxa"/>
            <w:shd w:val="clear" w:color="auto" w:fill="auto"/>
          </w:tcPr>
          <w:p w14:paraId="05026DFA" w14:textId="77777777" w:rsidR="0076699B" w:rsidRPr="0076699B" w:rsidRDefault="0076699B" w:rsidP="00552412">
            <w:pPr>
              <w:jc w:val="both"/>
              <w:rPr>
                <w:rFonts w:ascii="Times New Roman" w:hAnsi="Times New Roman" w:cs="Times New Roman"/>
                <w:color w:val="000000"/>
              </w:rPr>
            </w:pPr>
            <w:r w:rsidRPr="0076699B">
              <w:rPr>
                <w:rFonts w:ascii="Times New Roman" w:hAnsi="Times New Roman" w:cs="Times New Roman"/>
                <w:color w:val="000000"/>
              </w:rPr>
              <w:t>Альтернатива 2</w:t>
            </w:r>
          </w:p>
          <w:p w14:paraId="4941CB8A" w14:textId="77777777" w:rsidR="0076699B" w:rsidRPr="0076699B" w:rsidRDefault="0076699B" w:rsidP="00552412">
            <w:pPr>
              <w:jc w:val="both"/>
              <w:rPr>
                <w:rFonts w:ascii="Times New Roman" w:hAnsi="Times New Roman" w:cs="Times New Roman"/>
                <w:color w:val="000000"/>
              </w:rPr>
            </w:pPr>
            <w:r w:rsidRPr="0076699B">
              <w:rPr>
                <w:rFonts w:ascii="Times New Roman" w:hAnsi="Times New Roman" w:cs="Times New Roman"/>
                <w:color w:val="000000"/>
              </w:rPr>
              <w:t>Відсутність регулювання</w:t>
            </w:r>
          </w:p>
        </w:tc>
        <w:tc>
          <w:tcPr>
            <w:tcW w:w="7618" w:type="dxa"/>
            <w:shd w:val="clear" w:color="auto" w:fill="auto"/>
          </w:tcPr>
          <w:p w14:paraId="7C2A3E0D"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Відсутність регулювання передбачає залишення існуючого стану справ</w:t>
            </w:r>
          </w:p>
        </w:tc>
      </w:tr>
    </w:tbl>
    <w:p w14:paraId="1777E277" w14:textId="77777777" w:rsidR="0076699B" w:rsidRPr="0076699B" w:rsidRDefault="0076699B" w:rsidP="0076699B">
      <w:pPr>
        <w:pStyle w:val="a7"/>
        <w:spacing w:before="0" w:beforeAutospacing="0" w:after="0" w:afterAutospacing="0"/>
        <w:jc w:val="center"/>
        <w:rPr>
          <w:b/>
          <w:color w:val="000000"/>
          <w:sz w:val="28"/>
          <w:szCs w:val="28"/>
        </w:rPr>
      </w:pPr>
    </w:p>
    <w:p w14:paraId="6D37BE47" w14:textId="77777777" w:rsidR="0076699B" w:rsidRPr="0076699B" w:rsidRDefault="0076699B" w:rsidP="0076699B">
      <w:pPr>
        <w:pStyle w:val="a7"/>
        <w:spacing w:before="0" w:beforeAutospacing="0" w:after="0" w:afterAutospacing="0"/>
        <w:jc w:val="center"/>
        <w:rPr>
          <w:b/>
          <w:color w:val="000000"/>
          <w:sz w:val="28"/>
          <w:szCs w:val="28"/>
        </w:rPr>
      </w:pPr>
      <w:r w:rsidRPr="0076699B">
        <w:rPr>
          <w:b/>
          <w:color w:val="000000"/>
          <w:sz w:val="28"/>
          <w:szCs w:val="28"/>
        </w:rPr>
        <w:t>2. Оцінка вибраних альтернативних способів досягнення цілей</w:t>
      </w:r>
    </w:p>
    <w:p w14:paraId="0E8B9BD6" w14:textId="77777777" w:rsidR="0076699B" w:rsidRPr="0076699B" w:rsidRDefault="0076699B" w:rsidP="0076699B">
      <w:pPr>
        <w:jc w:val="center"/>
        <w:rPr>
          <w:rFonts w:ascii="Times New Roman" w:hAnsi="Times New Roman" w:cs="Times New Roman"/>
          <w:b/>
          <w:bCs/>
          <w:color w:val="000000"/>
          <w:sz w:val="28"/>
          <w:szCs w:val="28"/>
        </w:rPr>
      </w:pPr>
      <w:r w:rsidRPr="0076699B">
        <w:rPr>
          <w:rFonts w:ascii="Times New Roman" w:hAnsi="Times New Roman" w:cs="Times New Roman"/>
          <w:b/>
          <w:bCs/>
          <w:color w:val="000000"/>
          <w:sz w:val="28"/>
          <w:szCs w:val="28"/>
        </w:rPr>
        <w:t>Оцінка впливу на сферу інтересів держави</w:t>
      </w:r>
    </w:p>
    <w:p w14:paraId="1CE625E7"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Оцінка впливу регуляторного акта на сферу інтересів держави не здійснювалася, оскільки такий вплив відсутній.</w:t>
      </w:r>
    </w:p>
    <w:p w14:paraId="4448DB7F" w14:textId="77777777" w:rsidR="0076699B" w:rsidRPr="0076699B" w:rsidRDefault="0076699B" w:rsidP="0076699B">
      <w:pPr>
        <w:jc w:val="center"/>
        <w:rPr>
          <w:rFonts w:ascii="Times New Roman" w:hAnsi="Times New Roman" w:cs="Times New Roman"/>
          <w:color w:val="000000"/>
          <w:sz w:val="28"/>
          <w:szCs w:val="28"/>
        </w:rPr>
      </w:pPr>
    </w:p>
    <w:p w14:paraId="3A19630A" w14:textId="77777777" w:rsidR="0076699B" w:rsidRPr="0076699B" w:rsidRDefault="0076699B" w:rsidP="0076699B">
      <w:pPr>
        <w:jc w:val="center"/>
        <w:rPr>
          <w:rFonts w:ascii="Times New Roman" w:hAnsi="Times New Roman" w:cs="Times New Roman"/>
          <w:b/>
          <w:bCs/>
          <w:color w:val="000000"/>
          <w:sz w:val="28"/>
          <w:szCs w:val="28"/>
        </w:rPr>
      </w:pPr>
      <w:r w:rsidRPr="0076699B">
        <w:rPr>
          <w:rFonts w:ascii="Times New Roman" w:hAnsi="Times New Roman" w:cs="Times New Roman"/>
          <w:b/>
          <w:bCs/>
          <w:color w:val="000000"/>
          <w:sz w:val="28"/>
          <w:szCs w:val="28"/>
        </w:rPr>
        <w:t>Оцінка впливу на сферу інтересів громадян</w:t>
      </w:r>
    </w:p>
    <w:p w14:paraId="7AF9508B"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Оцінка впливу регуляторного акта на сферу інтересів громадян не здійснювалася, оскільки такий вплив відсутній.</w:t>
      </w:r>
    </w:p>
    <w:p w14:paraId="4993E380" w14:textId="77777777" w:rsidR="0076699B" w:rsidRPr="0076699B" w:rsidRDefault="0076699B" w:rsidP="0076699B">
      <w:pPr>
        <w:pStyle w:val="a7"/>
        <w:spacing w:before="0" w:beforeAutospacing="0" w:after="0" w:afterAutospacing="0"/>
        <w:ind w:firstLine="709"/>
        <w:jc w:val="both"/>
        <w:rPr>
          <w:color w:val="000000"/>
          <w:sz w:val="28"/>
          <w:szCs w:val="28"/>
        </w:rPr>
      </w:pPr>
    </w:p>
    <w:p w14:paraId="498B7AD8" w14:textId="77777777" w:rsidR="0076699B" w:rsidRPr="0076699B" w:rsidRDefault="0076699B" w:rsidP="0076699B">
      <w:pPr>
        <w:pStyle w:val="a7"/>
        <w:spacing w:before="0" w:beforeAutospacing="0" w:after="0" w:afterAutospacing="0"/>
        <w:jc w:val="center"/>
        <w:rPr>
          <w:b/>
          <w:bCs/>
          <w:color w:val="000000"/>
          <w:sz w:val="28"/>
          <w:szCs w:val="28"/>
        </w:rPr>
      </w:pPr>
      <w:r w:rsidRPr="0076699B">
        <w:rPr>
          <w:b/>
          <w:bCs/>
          <w:color w:val="000000"/>
          <w:sz w:val="28"/>
          <w:szCs w:val="28"/>
        </w:rPr>
        <w:t>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93"/>
        <w:gridCol w:w="1134"/>
        <w:gridCol w:w="1134"/>
        <w:gridCol w:w="1275"/>
        <w:gridCol w:w="1240"/>
      </w:tblGrid>
      <w:tr w:rsidR="0076699B" w:rsidRPr="0076699B" w14:paraId="7186B0E5" w14:textId="77777777" w:rsidTr="00552412">
        <w:tc>
          <w:tcPr>
            <w:tcW w:w="4077" w:type="dxa"/>
            <w:shd w:val="clear" w:color="auto" w:fill="auto"/>
          </w:tcPr>
          <w:p w14:paraId="06F4860A"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Показник</w:t>
            </w:r>
          </w:p>
        </w:tc>
        <w:tc>
          <w:tcPr>
            <w:tcW w:w="993" w:type="dxa"/>
            <w:shd w:val="clear" w:color="auto" w:fill="auto"/>
          </w:tcPr>
          <w:p w14:paraId="6DC6F1BD"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Великі</w:t>
            </w:r>
          </w:p>
        </w:tc>
        <w:tc>
          <w:tcPr>
            <w:tcW w:w="1134" w:type="dxa"/>
            <w:shd w:val="clear" w:color="auto" w:fill="auto"/>
          </w:tcPr>
          <w:p w14:paraId="0434E423"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Середні</w:t>
            </w:r>
          </w:p>
        </w:tc>
        <w:tc>
          <w:tcPr>
            <w:tcW w:w="1134" w:type="dxa"/>
            <w:shd w:val="clear" w:color="auto" w:fill="auto"/>
          </w:tcPr>
          <w:p w14:paraId="7C20CB95"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Малі</w:t>
            </w:r>
          </w:p>
        </w:tc>
        <w:tc>
          <w:tcPr>
            <w:tcW w:w="1275" w:type="dxa"/>
            <w:shd w:val="clear" w:color="auto" w:fill="auto"/>
          </w:tcPr>
          <w:p w14:paraId="112F0E2A"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Мікро</w:t>
            </w:r>
          </w:p>
        </w:tc>
        <w:tc>
          <w:tcPr>
            <w:tcW w:w="1240" w:type="dxa"/>
            <w:shd w:val="clear" w:color="auto" w:fill="auto"/>
          </w:tcPr>
          <w:p w14:paraId="553F1EA0"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Разом</w:t>
            </w:r>
          </w:p>
        </w:tc>
      </w:tr>
      <w:tr w:rsidR="0076699B" w:rsidRPr="0076699B" w14:paraId="15DE2EE2" w14:textId="77777777" w:rsidTr="00552412">
        <w:tc>
          <w:tcPr>
            <w:tcW w:w="4077" w:type="dxa"/>
            <w:shd w:val="clear" w:color="auto" w:fill="auto"/>
          </w:tcPr>
          <w:p w14:paraId="573D3A0D" w14:textId="77777777" w:rsidR="0076699B" w:rsidRPr="0076699B" w:rsidRDefault="0076699B" w:rsidP="00552412">
            <w:pPr>
              <w:jc w:val="both"/>
              <w:rPr>
                <w:rFonts w:ascii="Times New Roman" w:hAnsi="Times New Roman" w:cs="Times New Roman"/>
                <w:color w:val="000000"/>
              </w:rPr>
            </w:pPr>
            <w:r w:rsidRPr="0076699B">
              <w:rPr>
                <w:rFonts w:ascii="Times New Roman" w:hAnsi="Times New Roman" w:cs="Times New Roman"/>
                <w:color w:val="000000"/>
              </w:rPr>
              <w:t>Кількість суб’єктів господарювання, що підпадають під дію регулювання, одиниць</w:t>
            </w:r>
            <w:r w:rsidRPr="0076699B">
              <w:rPr>
                <w:rFonts w:ascii="Times New Roman" w:hAnsi="Times New Roman" w:cs="Times New Roman"/>
                <w:color w:val="000000"/>
                <w:vertAlign w:val="superscript"/>
              </w:rPr>
              <w:t>2</w:t>
            </w:r>
          </w:p>
        </w:tc>
        <w:tc>
          <w:tcPr>
            <w:tcW w:w="993" w:type="dxa"/>
            <w:shd w:val="clear" w:color="auto" w:fill="auto"/>
          </w:tcPr>
          <w:p w14:paraId="62E8DE1C" w14:textId="77777777" w:rsidR="0076699B" w:rsidRPr="0076699B" w:rsidRDefault="0076699B" w:rsidP="00552412">
            <w:pPr>
              <w:pStyle w:val="a7"/>
              <w:spacing w:before="0" w:beforeAutospacing="0" w:after="0" w:afterAutospacing="0"/>
              <w:jc w:val="center"/>
              <w:rPr>
                <w:color w:val="000000"/>
              </w:rPr>
            </w:pPr>
            <w:r w:rsidRPr="0076699B">
              <w:rPr>
                <w:color w:val="000000"/>
              </w:rPr>
              <w:t>2</w:t>
            </w:r>
          </w:p>
        </w:tc>
        <w:tc>
          <w:tcPr>
            <w:tcW w:w="1134" w:type="dxa"/>
            <w:shd w:val="clear" w:color="auto" w:fill="auto"/>
          </w:tcPr>
          <w:p w14:paraId="1A9DCCC3" w14:textId="77777777" w:rsidR="0076699B" w:rsidRPr="0076699B" w:rsidRDefault="0076699B" w:rsidP="00552412">
            <w:pPr>
              <w:pStyle w:val="a7"/>
              <w:spacing w:before="0" w:beforeAutospacing="0" w:after="0" w:afterAutospacing="0"/>
              <w:jc w:val="center"/>
              <w:rPr>
                <w:color w:val="000000"/>
              </w:rPr>
            </w:pPr>
            <w:r w:rsidRPr="0076699B">
              <w:rPr>
                <w:color w:val="000000"/>
              </w:rPr>
              <w:t>7</w:t>
            </w:r>
          </w:p>
        </w:tc>
        <w:tc>
          <w:tcPr>
            <w:tcW w:w="1134" w:type="dxa"/>
            <w:shd w:val="clear" w:color="auto" w:fill="auto"/>
          </w:tcPr>
          <w:p w14:paraId="32C52098" w14:textId="77777777" w:rsidR="0076699B" w:rsidRPr="0076699B" w:rsidRDefault="0076699B" w:rsidP="00552412">
            <w:pPr>
              <w:pStyle w:val="a7"/>
              <w:spacing w:before="0" w:beforeAutospacing="0" w:after="0" w:afterAutospacing="0"/>
              <w:jc w:val="center"/>
              <w:rPr>
                <w:color w:val="000000"/>
              </w:rPr>
            </w:pPr>
            <w:r w:rsidRPr="0076699B">
              <w:rPr>
                <w:color w:val="000000"/>
              </w:rPr>
              <w:t>3</w:t>
            </w:r>
          </w:p>
        </w:tc>
        <w:tc>
          <w:tcPr>
            <w:tcW w:w="1275" w:type="dxa"/>
            <w:shd w:val="clear" w:color="auto" w:fill="auto"/>
          </w:tcPr>
          <w:p w14:paraId="4F803332" w14:textId="77777777" w:rsidR="0076699B" w:rsidRPr="0076699B" w:rsidRDefault="0076699B" w:rsidP="00552412">
            <w:pPr>
              <w:pStyle w:val="a7"/>
              <w:spacing w:before="0" w:beforeAutospacing="0" w:after="0" w:afterAutospacing="0"/>
              <w:jc w:val="center"/>
              <w:rPr>
                <w:color w:val="000000"/>
              </w:rPr>
            </w:pPr>
            <w:r w:rsidRPr="0076699B">
              <w:rPr>
                <w:color w:val="000000"/>
              </w:rPr>
              <w:t>Х</w:t>
            </w:r>
          </w:p>
        </w:tc>
        <w:tc>
          <w:tcPr>
            <w:tcW w:w="1240" w:type="dxa"/>
            <w:shd w:val="clear" w:color="auto" w:fill="auto"/>
          </w:tcPr>
          <w:p w14:paraId="0438E60D" w14:textId="77777777" w:rsidR="0076699B" w:rsidRPr="0076699B" w:rsidRDefault="0076699B" w:rsidP="00552412">
            <w:pPr>
              <w:pStyle w:val="a7"/>
              <w:spacing w:before="0" w:beforeAutospacing="0" w:after="0" w:afterAutospacing="0"/>
              <w:jc w:val="center"/>
              <w:rPr>
                <w:color w:val="000000"/>
              </w:rPr>
            </w:pPr>
            <w:r w:rsidRPr="0076699B">
              <w:rPr>
                <w:color w:val="000000"/>
              </w:rPr>
              <w:t>12</w:t>
            </w:r>
          </w:p>
        </w:tc>
      </w:tr>
      <w:tr w:rsidR="0076699B" w:rsidRPr="0076699B" w14:paraId="2A701CEC" w14:textId="77777777" w:rsidTr="00552412">
        <w:tc>
          <w:tcPr>
            <w:tcW w:w="4077" w:type="dxa"/>
            <w:shd w:val="clear" w:color="auto" w:fill="auto"/>
          </w:tcPr>
          <w:p w14:paraId="07B94363" w14:textId="77777777" w:rsidR="0076699B" w:rsidRPr="0076699B" w:rsidRDefault="0076699B" w:rsidP="00552412">
            <w:pPr>
              <w:jc w:val="both"/>
              <w:rPr>
                <w:rFonts w:ascii="Times New Roman" w:hAnsi="Times New Roman" w:cs="Times New Roman"/>
                <w:color w:val="000000"/>
              </w:rPr>
            </w:pPr>
            <w:r w:rsidRPr="0076699B">
              <w:rPr>
                <w:rFonts w:ascii="Times New Roman" w:hAnsi="Times New Roman" w:cs="Times New Roman"/>
                <w:color w:val="000000"/>
              </w:rPr>
              <w:t>Питома вага групи у загальній кількості, відсотків</w:t>
            </w:r>
          </w:p>
        </w:tc>
        <w:tc>
          <w:tcPr>
            <w:tcW w:w="993" w:type="dxa"/>
            <w:shd w:val="clear" w:color="auto" w:fill="auto"/>
          </w:tcPr>
          <w:p w14:paraId="695AD1AD" w14:textId="77777777" w:rsidR="0076699B" w:rsidRPr="0076699B" w:rsidRDefault="0076699B" w:rsidP="00552412">
            <w:pPr>
              <w:pStyle w:val="a7"/>
              <w:spacing w:before="0" w:beforeAutospacing="0" w:after="0" w:afterAutospacing="0"/>
              <w:jc w:val="center"/>
              <w:rPr>
                <w:color w:val="000000"/>
              </w:rPr>
            </w:pPr>
            <w:r w:rsidRPr="0076699B">
              <w:rPr>
                <w:color w:val="000000"/>
              </w:rPr>
              <w:t>16,7</w:t>
            </w:r>
          </w:p>
        </w:tc>
        <w:tc>
          <w:tcPr>
            <w:tcW w:w="1134" w:type="dxa"/>
            <w:shd w:val="clear" w:color="auto" w:fill="auto"/>
          </w:tcPr>
          <w:p w14:paraId="5C2ADA33" w14:textId="77777777" w:rsidR="0076699B" w:rsidRPr="0076699B" w:rsidRDefault="0076699B" w:rsidP="00552412">
            <w:pPr>
              <w:pStyle w:val="a7"/>
              <w:spacing w:before="0" w:beforeAutospacing="0" w:after="0" w:afterAutospacing="0"/>
              <w:jc w:val="center"/>
              <w:rPr>
                <w:color w:val="000000"/>
              </w:rPr>
            </w:pPr>
            <w:r w:rsidRPr="0076699B">
              <w:rPr>
                <w:color w:val="000000"/>
              </w:rPr>
              <w:t>58,3</w:t>
            </w:r>
          </w:p>
        </w:tc>
        <w:tc>
          <w:tcPr>
            <w:tcW w:w="1134" w:type="dxa"/>
            <w:shd w:val="clear" w:color="auto" w:fill="auto"/>
          </w:tcPr>
          <w:p w14:paraId="7301B622" w14:textId="77777777" w:rsidR="0076699B" w:rsidRPr="0076699B" w:rsidRDefault="0076699B" w:rsidP="00552412">
            <w:pPr>
              <w:pStyle w:val="a7"/>
              <w:spacing w:before="0" w:beforeAutospacing="0" w:after="0" w:afterAutospacing="0"/>
              <w:jc w:val="center"/>
              <w:rPr>
                <w:color w:val="000000"/>
              </w:rPr>
            </w:pPr>
            <w:r w:rsidRPr="0076699B">
              <w:rPr>
                <w:color w:val="000000"/>
              </w:rPr>
              <w:t>25</w:t>
            </w:r>
          </w:p>
        </w:tc>
        <w:tc>
          <w:tcPr>
            <w:tcW w:w="1275" w:type="dxa"/>
            <w:shd w:val="clear" w:color="auto" w:fill="auto"/>
          </w:tcPr>
          <w:p w14:paraId="23B52DDD" w14:textId="77777777" w:rsidR="0076699B" w:rsidRPr="0076699B" w:rsidRDefault="0076699B" w:rsidP="00552412">
            <w:pPr>
              <w:pStyle w:val="a7"/>
              <w:spacing w:before="0" w:beforeAutospacing="0" w:after="0" w:afterAutospacing="0"/>
              <w:jc w:val="center"/>
              <w:rPr>
                <w:color w:val="000000"/>
              </w:rPr>
            </w:pPr>
            <w:r w:rsidRPr="0076699B">
              <w:rPr>
                <w:color w:val="000000"/>
              </w:rPr>
              <w:t>Х</w:t>
            </w:r>
          </w:p>
        </w:tc>
        <w:tc>
          <w:tcPr>
            <w:tcW w:w="1240" w:type="dxa"/>
            <w:shd w:val="clear" w:color="auto" w:fill="auto"/>
          </w:tcPr>
          <w:p w14:paraId="78AD4655" w14:textId="77777777" w:rsidR="0076699B" w:rsidRPr="0076699B" w:rsidRDefault="0076699B" w:rsidP="00552412">
            <w:pPr>
              <w:pStyle w:val="a7"/>
              <w:spacing w:before="0" w:beforeAutospacing="0" w:after="0" w:afterAutospacing="0"/>
              <w:jc w:val="center"/>
              <w:rPr>
                <w:color w:val="000000"/>
              </w:rPr>
            </w:pPr>
            <w:r w:rsidRPr="0076699B">
              <w:rPr>
                <w:color w:val="000000"/>
              </w:rPr>
              <w:t>Х</w:t>
            </w:r>
          </w:p>
        </w:tc>
      </w:tr>
    </w:tbl>
    <w:p w14:paraId="2A124EE5" w14:textId="77777777" w:rsidR="0076699B" w:rsidRPr="0076699B" w:rsidRDefault="0076699B" w:rsidP="0076699B">
      <w:pPr>
        <w:pStyle w:val="a7"/>
        <w:spacing w:before="0" w:beforeAutospacing="0" w:after="0" w:afterAutospacing="0"/>
        <w:jc w:val="both"/>
        <w:rPr>
          <w:color w:val="000000"/>
          <w:sz w:val="20"/>
          <w:szCs w:val="20"/>
        </w:rPr>
      </w:pPr>
      <w:r w:rsidRPr="0076699B">
        <w:rPr>
          <w:color w:val="000000"/>
          <w:sz w:val="20"/>
          <w:szCs w:val="20"/>
        </w:rPr>
        <w:t>____________</w:t>
      </w:r>
    </w:p>
    <w:p w14:paraId="1B6973C5" w14:textId="77777777" w:rsidR="0076699B" w:rsidRPr="0076699B" w:rsidRDefault="0076699B" w:rsidP="0076699B">
      <w:pPr>
        <w:pStyle w:val="a7"/>
        <w:spacing w:before="0" w:beforeAutospacing="0" w:after="0" w:afterAutospacing="0"/>
        <w:ind w:firstLine="709"/>
        <w:jc w:val="both"/>
        <w:rPr>
          <w:color w:val="000000"/>
          <w:sz w:val="20"/>
          <w:szCs w:val="20"/>
        </w:rPr>
      </w:pPr>
      <w:r w:rsidRPr="0076699B">
        <w:rPr>
          <w:color w:val="000000"/>
          <w:sz w:val="20"/>
          <w:szCs w:val="20"/>
          <w:vertAlign w:val="superscript"/>
        </w:rPr>
        <w:t>2</w:t>
      </w:r>
      <w:r w:rsidRPr="0076699B">
        <w:rPr>
          <w:color w:val="000000"/>
          <w:sz w:val="20"/>
          <w:szCs w:val="20"/>
        </w:rPr>
        <w:t xml:space="preserve"> Для визначення кількості суб’єктів господарювання, що підпадають під дію регуляторного акта, використовувались такі дані:</w:t>
      </w:r>
    </w:p>
    <w:p w14:paraId="378B1878" w14:textId="77777777" w:rsidR="0076699B" w:rsidRPr="0076699B" w:rsidRDefault="0076699B" w:rsidP="0076699B">
      <w:pPr>
        <w:pStyle w:val="a7"/>
        <w:spacing w:before="0" w:beforeAutospacing="0" w:after="0" w:afterAutospacing="0"/>
        <w:ind w:firstLine="709"/>
        <w:jc w:val="both"/>
        <w:rPr>
          <w:color w:val="000000"/>
          <w:sz w:val="20"/>
          <w:szCs w:val="20"/>
        </w:rPr>
      </w:pPr>
      <w:r w:rsidRPr="0076699B">
        <w:rPr>
          <w:color w:val="000000"/>
          <w:sz w:val="20"/>
          <w:szCs w:val="20"/>
        </w:rPr>
        <w:t>1) відомості про кваліфікованих надавачів електронних довірчих послуг, що містяться у Довірчому списку (</w:t>
      </w:r>
      <w:hyperlink r:id="rId7" w:history="1">
        <w:r w:rsidRPr="0076699B">
          <w:rPr>
            <w:rStyle w:val="ad"/>
            <w:color w:val="000000"/>
            <w:sz w:val="20"/>
            <w:szCs w:val="20"/>
          </w:rPr>
          <w:t>https://www.czo.gov.ua/trustedlist</w:t>
        </w:r>
      </w:hyperlink>
      <w:r w:rsidRPr="0076699B">
        <w:rPr>
          <w:color w:val="000000"/>
          <w:sz w:val="20"/>
          <w:szCs w:val="20"/>
        </w:rPr>
        <w:t>) та електронному реєстрі чинних, блокованих та скасованих сертифікатів відкритих ключів (</w:t>
      </w:r>
      <w:hyperlink r:id="rId8" w:history="1">
        <w:r w:rsidRPr="0076699B">
          <w:rPr>
            <w:rStyle w:val="ad"/>
            <w:color w:val="000000"/>
            <w:sz w:val="20"/>
            <w:szCs w:val="20"/>
          </w:rPr>
          <w:t>https://www.czo.gov.ua/ca-registry</w:t>
        </w:r>
      </w:hyperlink>
      <w:r w:rsidRPr="0076699B">
        <w:rPr>
          <w:color w:val="000000"/>
          <w:sz w:val="20"/>
          <w:szCs w:val="20"/>
        </w:rPr>
        <w:t>), які розміщені на офіційному веб-сайті центрального засвідчувального органу (всього 12);</w:t>
      </w:r>
    </w:p>
    <w:p w14:paraId="6E368D81" w14:textId="77777777" w:rsidR="0076699B" w:rsidRPr="0076699B" w:rsidRDefault="0076699B" w:rsidP="0076699B">
      <w:pPr>
        <w:pStyle w:val="a7"/>
        <w:spacing w:before="0" w:beforeAutospacing="0" w:after="0" w:afterAutospacing="0"/>
        <w:ind w:firstLine="709"/>
        <w:jc w:val="both"/>
        <w:rPr>
          <w:color w:val="000000"/>
          <w:sz w:val="20"/>
          <w:szCs w:val="20"/>
        </w:rPr>
      </w:pPr>
      <w:r w:rsidRPr="0076699B">
        <w:rPr>
          <w:color w:val="000000"/>
          <w:sz w:val="20"/>
          <w:szCs w:val="20"/>
        </w:rPr>
        <w:t>2) відомості про кваліфікованих надавачів електронних довірчих послуг, що є суб’єктами господарювання, одержані від них на запит Міністерства цифрової трансформації України.</w:t>
      </w:r>
    </w:p>
    <w:p w14:paraId="3DDF8CDE" w14:textId="77777777" w:rsidR="0076699B" w:rsidRPr="0076699B" w:rsidRDefault="0076699B" w:rsidP="0076699B">
      <w:pPr>
        <w:pStyle w:val="a7"/>
        <w:spacing w:before="0" w:beforeAutospacing="0" w:after="0" w:afterAutospacing="0"/>
        <w:ind w:firstLine="709"/>
        <w:jc w:val="both"/>
        <w:rPr>
          <w:color w:val="000000"/>
          <w:sz w:val="28"/>
          <w:szCs w:val="28"/>
        </w:rPr>
      </w:pPr>
    </w:p>
    <w:p w14:paraId="442BF5FE" w14:textId="77777777" w:rsidR="0076699B" w:rsidRPr="0076699B" w:rsidRDefault="0076699B" w:rsidP="0076699B">
      <w:pPr>
        <w:pStyle w:val="a7"/>
        <w:spacing w:before="0" w:beforeAutospacing="0" w:after="0" w:afterAutospacing="0"/>
        <w:jc w:val="center"/>
        <w:rPr>
          <w:b/>
          <w:bCs/>
          <w:color w:val="000000"/>
          <w:sz w:val="28"/>
          <w:szCs w:val="28"/>
        </w:rPr>
      </w:pPr>
      <w:r w:rsidRPr="0076699B">
        <w:rPr>
          <w:b/>
          <w:bCs/>
          <w:color w:val="000000"/>
          <w:sz w:val="28"/>
          <w:szCs w:val="28"/>
        </w:rPr>
        <w:t>Альтернативні способи досягнення цілей державного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3408"/>
        <w:gridCol w:w="3462"/>
      </w:tblGrid>
      <w:tr w:rsidR="0076699B" w:rsidRPr="0076699B" w14:paraId="32719F9C" w14:textId="77777777" w:rsidTr="00552412">
        <w:tc>
          <w:tcPr>
            <w:tcW w:w="2235" w:type="dxa"/>
            <w:shd w:val="clear" w:color="auto" w:fill="auto"/>
          </w:tcPr>
          <w:p w14:paraId="6588E6D7"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Вид альтернативи</w:t>
            </w:r>
          </w:p>
        </w:tc>
        <w:tc>
          <w:tcPr>
            <w:tcW w:w="3738" w:type="dxa"/>
            <w:shd w:val="clear" w:color="auto" w:fill="auto"/>
          </w:tcPr>
          <w:p w14:paraId="500CB094"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Вигоди</w:t>
            </w:r>
          </w:p>
        </w:tc>
        <w:tc>
          <w:tcPr>
            <w:tcW w:w="3880" w:type="dxa"/>
            <w:shd w:val="clear" w:color="auto" w:fill="auto"/>
          </w:tcPr>
          <w:p w14:paraId="11DEFBE1" w14:textId="77777777" w:rsidR="0076699B" w:rsidRPr="0076699B" w:rsidRDefault="0076699B" w:rsidP="00552412">
            <w:pPr>
              <w:jc w:val="center"/>
              <w:rPr>
                <w:rFonts w:ascii="Times New Roman" w:hAnsi="Times New Roman" w:cs="Times New Roman"/>
                <w:b/>
                <w:bCs/>
                <w:color w:val="000000"/>
              </w:rPr>
            </w:pPr>
            <w:r w:rsidRPr="0076699B">
              <w:rPr>
                <w:rFonts w:ascii="Times New Roman" w:hAnsi="Times New Roman" w:cs="Times New Roman"/>
                <w:b/>
                <w:bCs/>
                <w:color w:val="000000"/>
              </w:rPr>
              <w:t>Витрати</w:t>
            </w:r>
          </w:p>
        </w:tc>
      </w:tr>
      <w:tr w:rsidR="0076699B" w:rsidRPr="0076699B" w14:paraId="22ECEF30" w14:textId="77777777" w:rsidTr="00552412">
        <w:tc>
          <w:tcPr>
            <w:tcW w:w="2235" w:type="dxa"/>
            <w:shd w:val="clear" w:color="auto" w:fill="auto"/>
          </w:tcPr>
          <w:p w14:paraId="4C04F857" w14:textId="77777777" w:rsidR="0076699B" w:rsidRPr="0076699B" w:rsidRDefault="0076699B" w:rsidP="00552412">
            <w:pPr>
              <w:pStyle w:val="a7"/>
              <w:spacing w:before="0" w:beforeAutospacing="0" w:after="0" w:afterAutospacing="0"/>
              <w:jc w:val="both"/>
              <w:rPr>
                <w:color w:val="000000"/>
              </w:rPr>
            </w:pPr>
            <w:r w:rsidRPr="0076699B">
              <w:rPr>
                <w:color w:val="000000"/>
              </w:rPr>
              <w:t>Альтернатива 1</w:t>
            </w:r>
          </w:p>
          <w:p w14:paraId="75B8052F" w14:textId="77777777" w:rsidR="0076699B" w:rsidRPr="0076699B" w:rsidRDefault="0076699B" w:rsidP="00552412">
            <w:pPr>
              <w:pStyle w:val="a7"/>
              <w:spacing w:before="0" w:beforeAutospacing="0" w:after="0" w:afterAutospacing="0"/>
              <w:jc w:val="both"/>
              <w:rPr>
                <w:color w:val="000000"/>
              </w:rPr>
            </w:pPr>
            <w:r w:rsidRPr="0076699B">
              <w:rPr>
                <w:color w:val="000000"/>
              </w:rPr>
              <w:t>Прийняття регуляторного акта</w:t>
            </w:r>
          </w:p>
        </w:tc>
        <w:tc>
          <w:tcPr>
            <w:tcW w:w="3738" w:type="dxa"/>
            <w:shd w:val="clear" w:color="auto" w:fill="auto"/>
          </w:tcPr>
          <w:p w14:paraId="2FABC546"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Вигоди пов’язані з наближенням до законодавства та стандартів Європейського Союзу в сфері електронних довірчих послуг на виконання завдань спільного робочого плану співпраці між Європейським Союзом та Україною щодо електронних довірчих послуг (лист Представництва Європейського Союзу в Україні від 20 січня 2021 року)</w:t>
            </w:r>
          </w:p>
        </w:tc>
        <w:tc>
          <w:tcPr>
            <w:tcW w:w="3880" w:type="dxa"/>
            <w:shd w:val="clear" w:color="auto" w:fill="auto"/>
          </w:tcPr>
          <w:p w14:paraId="6BBBE92A" w14:textId="77777777" w:rsidR="0076699B" w:rsidRPr="0076699B" w:rsidRDefault="0076699B" w:rsidP="00552412">
            <w:pPr>
              <w:ind w:firstLine="426"/>
              <w:jc w:val="both"/>
              <w:rPr>
                <w:rFonts w:ascii="Times New Roman" w:hAnsi="Times New Roman" w:cs="Times New Roman"/>
                <w:color w:val="000000"/>
              </w:rPr>
            </w:pPr>
            <w:r w:rsidRPr="0076699B">
              <w:rPr>
                <w:rFonts w:ascii="Times New Roman" w:hAnsi="Times New Roman" w:cs="Times New Roman"/>
                <w:color w:val="000000"/>
              </w:rPr>
              <w:t>Витрати відсутні</w:t>
            </w:r>
          </w:p>
        </w:tc>
      </w:tr>
      <w:tr w:rsidR="0076699B" w:rsidRPr="0076699B" w14:paraId="34854B82" w14:textId="77777777" w:rsidTr="00552412">
        <w:tc>
          <w:tcPr>
            <w:tcW w:w="2235" w:type="dxa"/>
            <w:shd w:val="clear" w:color="auto" w:fill="auto"/>
          </w:tcPr>
          <w:p w14:paraId="76A0D2E2" w14:textId="77777777" w:rsidR="0076699B" w:rsidRPr="0076699B" w:rsidRDefault="0076699B" w:rsidP="00552412">
            <w:pPr>
              <w:pStyle w:val="a7"/>
              <w:spacing w:before="0" w:beforeAutospacing="0" w:after="0" w:afterAutospacing="0"/>
              <w:jc w:val="both"/>
              <w:rPr>
                <w:color w:val="000000"/>
              </w:rPr>
            </w:pPr>
            <w:r w:rsidRPr="0076699B">
              <w:rPr>
                <w:color w:val="000000"/>
              </w:rPr>
              <w:t>Альтернатива 2</w:t>
            </w:r>
          </w:p>
          <w:p w14:paraId="12C72F20" w14:textId="77777777" w:rsidR="0076699B" w:rsidRPr="0076699B" w:rsidRDefault="0076699B" w:rsidP="00552412">
            <w:pPr>
              <w:pStyle w:val="a7"/>
              <w:spacing w:before="0" w:beforeAutospacing="0" w:after="0" w:afterAutospacing="0"/>
              <w:jc w:val="both"/>
              <w:rPr>
                <w:color w:val="000000"/>
              </w:rPr>
            </w:pPr>
            <w:r w:rsidRPr="0076699B">
              <w:rPr>
                <w:color w:val="000000"/>
              </w:rPr>
              <w:t>Відсутність регулювання</w:t>
            </w:r>
          </w:p>
        </w:tc>
        <w:tc>
          <w:tcPr>
            <w:tcW w:w="3738" w:type="dxa"/>
            <w:shd w:val="clear" w:color="auto" w:fill="auto"/>
          </w:tcPr>
          <w:p w14:paraId="7E679E63"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Вигоди відсутні</w:t>
            </w:r>
          </w:p>
        </w:tc>
        <w:tc>
          <w:tcPr>
            <w:tcW w:w="3880" w:type="dxa"/>
            <w:shd w:val="clear" w:color="auto" w:fill="auto"/>
          </w:tcPr>
          <w:p w14:paraId="68342BE8"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Витрати відсутні</w:t>
            </w:r>
          </w:p>
        </w:tc>
      </w:tr>
    </w:tbl>
    <w:p w14:paraId="78AE871A" w14:textId="77777777" w:rsidR="0076699B" w:rsidRPr="0076699B" w:rsidRDefault="0076699B" w:rsidP="0076699B">
      <w:pPr>
        <w:pStyle w:val="a7"/>
        <w:spacing w:before="0" w:beforeAutospacing="0" w:after="0" w:afterAutospacing="0"/>
        <w:ind w:firstLine="709"/>
        <w:jc w:val="both"/>
        <w:rPr>
          <w:color w:val="000000"/>
          <w:sz w:val="28"/>
          <w:szCs w:val="28"/>
        </w:rPr>
      </w:pPr>
    </w:p>
    <w:p w14:paraId="5A81D838"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ВИТРАТИ</w:t>
      </w:r>
    </w:p>
    <w:p w14:paraId="4250CC36"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на одного суб’єкта господарювання великого і середнього підприємництва, які виникають внаслідок дії регуляторного акта</w:t>
      </w:r>
    </w:p>
    <w:p w14:paraId="30B714BA"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З огляду на відомості, одержані на запит Міністерства цифрової трансформації України від кваліфікованих надавачів електронних довірчих послуг, що є суб’єктами господарювання, витрати на одного суб’єкта господарювання великого і середнього підприємництва, які виникають внаслідок дії регуляторного акта, відсутні.</w:t>
      </w:r>
    </w:p>
    <w:p w14:paraId="7AA2E6A1"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Відсутність витрат, які виникають внаслідок дії регуляторного акта, пояснюється тим, що регуляторним актом пропонується:</w:t>
      </w:r>
    </w:p>
    <w:p w14:paraId="56769E21"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lastRenderedPageBreak/>
        <w:t xml:space="preserve">1) актуалізувати </w:t>
      </w:r>
      <w:r w:rsidRPr="0076699B">
        <w:rPr>
          <w:sz w:val="28"/>
          <w:szCs w:val="28"/>
        </w:rPr>
        <w:t>Перелік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затверджених постановою Кабінету Міністрів України від 7 листопада 2018 р. № 992.</w:t>
      </w:r>
    </w:p>
    <w:p w14:paraId="7047B8C0" w14:textId="54081097" w:rsidR="0076699B" w:rsidRPr="000C545D" w:rsidRDefault="0076699B" w:rsidP="000C545D">
      <w:pPr>
        <w:pStyle w:val="a7"/>
        <w:spacing w:before="0" w:beforeAutospacing="0" w:after="0" w:afterAutospacing="0"/>
        <w:ind w:firstLine="709"/>
        <w:jc w:val="both"/>
        <w:rPr>
          <w:color w:val="000000"/>
          <w:sz w:val="28"/>
          <w:szCs w:val="28"/>
        </w:rPr>
      </w:pPr>
      <w:r w:rsidRPr="0076699B">
        <w:rPr>
          <w:color w:val="000000"/>
          <w:sz w:val="28"/>
          <w:szCs w:val="28"/>
        </w:rPr>
        <w:t>Водночас кваліфіковані надавачі електронних довірчих послуг мають право самостійно обирати, які саме стандарти будуть ними застосовуватися при наданні довірчих послуг з переліку стандартів, визначеного Кабінетом Міністрів України (частина перша статті 13 Закону України «Про електронні довірчі послуги»)</w:t>
      </w:r>
      <w:r w:rsidR="000C545D" w:rsidRPr="000C545D">
        <w:rPr>
          <w:color w:val="000000"/>
          <w:sz w:val="28"/>
          <w:szCs w:val="28"/>
        </w:rPr>
        <w:t>.</w:t>
      </w:r>
    </w:p>
    <w:p w14:paraId="0BE0D823"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З огляду на зазначене кваліфіковані надавачі електронних довірчих послуг не вбачають збільшення витрат, пов’язаних з наданням електронних довірчих послуг, у зв’язку з реалізацією положень регуляторного акта.</w:t>
      </w:r>
    </w:p>
    <w:p w14:paraId="4BD07727" w14:textId="77777777" w:rsidR="0076699B" w:rsidRPr="0076699B" w:rsidRDefault="0076699B" w:rsidP="0076699B">
      <w:pPr>
        <w:pStyle w:val="a7"/>
        <w:spacing w:before="0" w:beforeAutospacing="0" w:after="0" w:afterAutospacing="0"/>
        <w:ind w:firstLine="709"/>
        <w:jc w:val="both"/>
        <w:rPr>
          <w:color w:val="000000"/>
          <w:sz w:val="28"/>
          <w:szCs w:val="28"/>
        </w:rPr>
      </w:pPr>
    </w:p>
    <w:p w14:paraId="1777F51A"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IV. Вибір найбільш оптимального альтернативного способу досягнення цілей</w:t>
      </w:r>
    </w:p>
    <w:p w14:paraId="7002A96E"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За результатами аналізу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14:paraId="312AC9A3"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Бал результативності визначається за чотирибальною системою оцінки ступеня досягнення визначених цілей державного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205"/>
        <w:gridCol w:w="4744"/>
      </w:tblGrid>
      <w:tr w:rsidR="0076699B" w:rsidRPr="0076699B" w14:paraId="11322E54" w14:textId="77777777" w:rsidTr="00552412">
        <w:tc>
          <w:tcPr>
            <w:tcW w:w="2093" w:type="dxa"/>
            <w:shd w:val="clear" w:color="auto" w:fill="auto"/>
          </w:tcPr>
          <w:p w14:paraId="5186429D" w14:textId="77777777" w:rsidR="0076699B" w:rsidRPr="0076699B" w:rsidRDefault="0076699B" w:rsidP="00552412">
            <w:pPr>
              <w:pStyle w:val="a7"/>
              <w:spacing w:before="0" w:beforeAutospacing="0" w:after="0" w:afterAutospacing="0"/>
              <w:jc w:val="center"/>
              <w:rPr>
                <w:color w:val="000000"/>
              </w:rPr>
            </w:pPr>
            <w:r w:rsidRPr="0076699B">
              <w:rPr>
                <w:color w:val="000000"/>
              </w:rPr>
              <w:t>Рейтинг результативності (досягнення цілей під час вирішення проблеми)</w:t>
            </w:r>
          </w:p>
        </w:tc>
        <w:tc>
          <w:tcPr>
            <w:tcW w:w="2268" w:type="dxa"/>
            <w:shd w:val="clear" w:color="auto" w:fill="auto"/>
          </w:tcPr>
          <w:p w14:paraId="26B6570E" w14:textId="77777777" w:rsidR="0076699B" w:rsidRPr="0076699B" w:rsidRDefault="0076699B" w:rsidP="00552412">
            <w:pPr>
              <w:pStyle w:val="a7"/>
              <w:spacing w:before="0" w:beforeAutospacing="0" w:after="0" w:afterAutospacing="0"/>
              <w:jc w:val="center"/>
              <w:rPr>
                <w:color w:val="000000"/>
              </w:rPr>
            </w:pPr>
            <w:r w:rsidRPr="0076699B">
              <w:rPr>
                <w:color w:val="000000"/>
              </w:rPr>
              <w:t>Бал результативності (за чотирибальною системою оцінки)</w:t>
            </w:r>
          </w:p>
        </w:tc>
        <w:tc>
          <w:tcPr>
            <w:tcW w:w="5492" w:type="dxa"/>
            <w:shd w:val="clear" w:color="auto" w:fill="auto"/>
          </w:tcPr>
          <w:p w14:paraId="3C367BA5" w14:textId="77777777" w:rsidR="0076699B" w:rsidRPr="0076699B" w:rsidRDefault="0076699B" w:rsidP="00552412">
            <w:pPr>
              <w:pStyle w:val="a7"/>
              <w:spacing w:before="0" w:beforeAutospacing="0" w:after="0" w:afterAutospacing="0"/>
              <w:jc w:val="center"/>
              <w:rPr>
                <w:color w:val="000000"/>
              </w:rPr>
            </w:pPr>
            <w:r w:rsidRPr="0076699B">
              <w:rPr>
                <w:color w:val="000000"/>
              </w:rPr>
              <w:t xml:space="preserve">Коментарі щодо присвоєння відповідного </w:t>
            </w:r>
            <w:proofErr w:type="spellStart"/>
            <w:r w:rsidRPr="0076699B">
              <w:rPr>
                <w:color w:val="000000"/>
              </w:rPr>
              <w:t>бала</w:t>
            </w:r>
            <w:proofErr w:type="spellEnd"/>
          </w:p>
        </w:tc>
      </w:tr>
      <w:tr w:rsidR="0076699B" w:rsidRPr="0076699B" w14:paraId="725BD856" w14:textId="77777777" w:rsidTr="00552412">
        <w:tc>
          <w:tcPr>
            <w:tcW w:w="2093" w:type="dxa"/>
            <w:shd w:val="clear" w:color="auto" w:fill="auto"/>
          </w:tcPr>
          <w:p w14:paraId="4D2807A2" w14:textId="77777777" w:rsidR="0076699B" w:rsidRPr="0076699B" w:rsidRDefault="0076699B" w:rsidP="00552412">
            <w:pPr>
              <w:pStyle w:val="a7"/>
              <w:spacing w:before="0" w:beforeAutospacing="0" w:after="0" w:afterAutospacing="0"/>
              <w:jc w:val="both"/>
              <w:rPr>
                <w:color w:val="000000"/>
              </w:rPr>
            </w:pPr>
            <w:r w:rsidRPr="0076699B">
              <w:rPr>
                <w:color w:val="000000"/>
              </w:rPr>
              <w:t>Альтернатива 1</w:t>
            </w:r>
          </w:p>
          <w:p w14:paraId="13B9B7C2" w14:textId="77777777" w:rsidR="0076699B" w:rsidRPr="0076699B" w:rsidRDefault="0076699B" w:rsidP="00552412">
            <w:pPr>
              <w:pStyle w:val="a7"/>
              <w:spacing w:before="0" w:beforeAutospacing="0" w:after="0" w:afterAutospacing="0"/>
              <w:jc w:val="both"/>
              <w:rPr>
                <w:color w:val="000000"/>
              </w:rPr>
            </w:pPr>
            <w:r w:rsidRPr="0076699B">
              <w:rPr>
                <w:color w:val="000000"/>
              </w:rPr>
              <w:t>Прийняття регуляторного акта</w:t>
            </w:r>
          </w:p>
        </w:tc>
        <w:tc>
          <w:tcPr>
            <w:tcW w:w="2268" w:type="dxa"/>
            <w:shd w:val="clear" w:color="auto" w:fill="auto"/>
          </w:tcPr>
          <w:p w14:paraId="56CB4226" w14:textId="77777777" w:rsidR="0076699B" w:rsidRPr="0076699B" w:rsidRDefault="0076699B" w:rsidP="00552412">
            <w:pPr>
              <w:pStyle w:val="a7"/>
              <w:spacing w:before="0" w:beforeAutospacing="0" w:after="0" w:afterAutospacing="0"/>
              <w:jc w:val="center"/>
              <w:rPr>
                <w:color w:val="000000"/>
              </w:rPr>
            </w:pPr>
            <w:r w:rsidRPr="0076699B">
              <w:rPr>
                <w:color w:val="000000"/>
              </w:rPr>
              <w:t>3</w:t>
            </w:r>
          </w:p>
        </w:tc>
        <w:tc>
          <w:tcPr>
            <w:tcW w:w="5492" w:type="dxa"/>
            <w:shd w:val="clear" w:color="auto" w:fill="auto"/>
          </w:tcPr>
          <w:p w14:paraId="4EB5A03E"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 xml:space="preserve">Реалізація регуляторного акта сприятиме досягненню таких цілей державного регулювання: </w:t>
            </w:r>
          </w:p>
          <w:p w14:paraId="28D14EB4"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покращенню якості надання електронних довірчих послуг шляхом забезпечення відповідності електронних довірчих послуг, що надаються, вимогам європейських та міжнародних стандартів (у разі їх застосування);</w:t>
            </w:r>
          </w:p>
          <w:p w14:paraId="00C5239D"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підвищенню рівня довіри до електронних довірчих послуг, електронної ідентифікації, а також електронного документообігу та їх популяризації;</w:t>
            </w:r>
          </w:p>
          <w:p w14:paraId="25F3F7CF"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підвищенню надійності та захищеності електронного документообігу та електронної ідентифікації, зокрема з використанням електронних довірчих послуг;</w:t>
            </w:r>
          </w:p>
          <w:p w14:paraId="1B767567"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lastRenderedPageBreak/>
              <w:t>інтеграції України в світовий інформаційний простір;</w:t>
            </w:r>
          </w:p>
          <w:p w14:paraId="2A82AE0C" w14:textId="77777777" w:rsidR="0076699B" w:rsidRPr="0076699B" w:rsidRDefault="0076699B" w:rsidP="00552412">
            <w:pPr>
              <w:pStyle w:val="a7"/>
              <w:spacing w:before="0" w:beforeAutospacing="0" w:after="0" w:afterAutospacing="0"/>
              <w:ind w:firstLine="468"/>
              <w:jc w:val="both"/>
              <w:rPr>
                <w:color w:val="000000"/>
              </w:rPr>
            </w:pPr>
            <w:r w:rsidRPr="0076699B">
              <w:rPr>
                <w:color w:val="000000"/>
              </w:rPr>
              <w:t>виконанню завдань спільного робочого плану співпраці між Європейським Союзом та Україною щодо електронних довірчих послуг (лист Представництва Європейського Союзу в Україні від 20 січня 2021 року)</w:t>
            </w:r>
          </w:p>
        </w:tc>
      </w:tr>
      <w:tr w:rsidR="0076699B" w:rsidRPr="0076699B" w14:paraId="042646D9" w14:textId="77777777" w:rsidTr="00552412">
        <w:tc>
          <w:tcPr>
            <w:tcW w:w="2093" w:type="dxa"/>
            <w:shd w:val="clear" w:color="auto" w:fill="auto"/>
          </w:tcPr>
          <w:p w14:paraId="488758DC" w14:textId="77777777" w:rsidR="0076699B" w:rsidRPr="0076699B" w:rsidRDefault="0076699B" w:rsidP="00552412">
            <w:pPr>
              <w:pStyle w:val="a7"/>
              <w:spacing w:before="0" w:beforeAutospacing="0" w:after="0" w:afterAutospacing="0"/>
              <w:jc w:val="both"/>
              <w:rPr>
                <w:color w:val="000000"/>
              </w:rPr>
            </w:pPr>
            <w:r w:rsidRPr="0076699B">
              <w:rPr>
                <w:color w:val="000000"/>
              </w:rPr>
              <w:lastRenderedPageBreak/>
              <w:t>Альтернатива 2</w:t>
            </w:r>
          </w:p>
          <w:p w14:paraId="0B68CAAA" w14:textId="77777777" w:rsidR="0076699B" w:rsidRPr="0076699B" w:rsidRDefault="0076699B" w:rsidP="00552412">
            <w:pPr>
              <w:pStyle w:val="a7"/>
              <w:spacing w:before="0" w:beforeAutospacing="0" w:after="0" w:afterAutospacing="0"/>
              <w:jc w:val="both"/>
              <w:rPr>
                <w:color w:val="000000"/>
              </w:rPr>
            </w:pPr>
            <w:r w:rsidRPr="0076699B">
              <w:rPr>
                <w:color w:val="000000"/>
              </w:rPr>
              <w:t>Відсутність регулювання</w:t>
            </w:r>
          </w:p>
        </w:tc>
        <w:tc>
          <w:tcPr>
            <w:tcW w:w="2268" w:type="dxa"/>
            <w:shd w:val="clear" w:color="auto" w:fill="auto"/>
          </w:tcPr>
          <w:p w14:paraId="4E338DF6" w14:textId="77777777" w:rsidR="0076699B" w:rsidRPr="0076699B" w:rsidRDefault="0076699B" w:rsidP="00552412">
            <w:pPr>
              <w:pStyle w:val="a7"/>
              <w:spacing w:before="0" w:beforeAutospacing="0" w:after="0" w:afterAutospacing="0"/>
              <w:jc w:val="center"/>
              <w:rPr>
                <w:color w:val="000000"/>
              </w:rPr>
            </w:pPr>
            <w:r w:rsidRPr="0076699B">
              <w:rPr>
                <w:color w:val="000000"/>
              </w:rPr>
              <w:t>1</w:t>
            </w:r>
          </w:p>
        </w:tc>
        <w:tc>
          <w:tcPr>
            <w:tcW w:w="5492" w:type="dxa"/>
            <w:shd w:val="clear" w:color="auto" w:fill="auto"/>
          </w:tcPr>
          <w:p w14:paraId="2AD9E4AB"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Відсутність регулювання передбачає залишення існуючого стану справ</w:t>
            </w:r>
          </w:p>
        </w:tc>
      </w:tr>
    </w:tbl>
    <w:p w14:paraId="4B789453" w14:textId="77777777" w:rsidR="0076699B" w:rsidRPr="0076699B" w:rsidRDefault="0076699B" w:rsidP="0076699B">
      <w:pPr>
        <w:pStyle w:val="a7"/>
        <w:spacing w:before="0" w:beforeAutospacing="0" w:after="0" w:afterAutospacing="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2217"/>
        <w:gridCol w:w="2299"/>
        <w:gridCol w:w="2528"/>
      </w:tblGrid>
      <w:tr w:rsidR="0076699B" w:rsidRPr="0076699B" w14:paraId="7D49A07C" w14:textId="77777777" w:rsidTr="00552412">
        <w:tc>
          <w:tcPr>
            <w:tcW w:w="1972" w:type="dxa"/>
            <w:shd w:val="clear" w:color="auto" w:fill="auto"/>
          </w:tcPr>
          <w:p w14:paraId="6BDF1568" w14:textId="77777777" w:rsidR="0076699B" w:rsidRPr="0076699B" w:rsidRDefault="0076699B" w:rsidP="00552412">
            <w:pPr>
              <w:pStyle w:val="a7"/>
              <w:spacing w:before="0" w:beforeAutospacing="0" w:after="0" w:afterAutospacing="0"/>
              <w:jc w:val="center"/>
              <w:rPr>
                <w:color w:val="000000"/>
              </w:rPr>
            </w:pPr>
            <w:r w:rsidRPr="0076699B">
              <w:rPr>
                <w:color w:val="000000"/>
              </w:rPr>
              <w:t>Рейтинг результативності</w:t>
            </w:r>
          </w:p>
        </w:tc>
        <w:tc>
          <w:tcPr>
            <w:tcW w:w="2389" w:type="dxa"/>
            <w:shd w:val="clear" w:color="auto" w:fill="auto"/>
          </w:tcPr>
          <w:p w14:paraId="68452E24" w14:textId="77777777" w:rsidR="0076699B" w:rsidRPr="0076699B" w:rsidRDefault="0076699B" w:rsidP="00552412">
            <w:pPr>
              <w:pStyle w:val="a7"/>
              <w:spacing w:before="0" w:beforeAutospacing="0" w:after="0" w:afterAutospacing="0"/>
              <w:jc w:val="center"/>
              <w:rPr>
                <w:color w:val="000000"/>
              </w:rPr>
            </w:pPr>
            <w:r w:rsidRPr="0076699B">
              <w:rPr>
                <w:color w:val="000000"/>
              </w:rPr>
              <w:t>Вигоди (підсумок)</w:t>
            </w:r>
          </w:p>
        </w:tc>
        <w:tc>
          <w:tcPr>
            <w:tcW w:w="2693" w:type="dxa"/>
            <w:shd w:val="clear" w:color="auto" w:fill="auto"/>
          </w:tcPr>
          <w:p w14:paraId="4108028E" w14:textId="77777777" w:rsidR="0076699B" w:rsidRPr="0076699B" w:rsidRDefault="0076699B" w:rsidP="00552412">
            <w:pPr>
              <w:pStyle w:val="a7"/>
              <w:spacing w:before="0" w:beforeAutospacing="0" w:after="0" w:afterAutospacing="0"/>
              <w:jc w:val="center"/>
              <w:rPr>
                <w:color w:val="000000"/>
              </w:rPr>
            </w:pPr>
            <w:r w:rsidRPr="0076699B">
              <w:rPr>
                <w:color w:val="000000"/>
              </w:rPr>
              <w:t>Витрати (підсумок)</w:t>
            </w:r>
          </w:p>
        </w:tc>
        <w:tc>
          <w:tcPr>
            <w:tcW w:w="2800" w:type="dxa"/>
            <w:shd w:val="clear" w:color="auto" w:fill="auto"/>
          </w:tcPr>
          <w:p w14:paraId="6B56D581" w14:textId="77777777" w:rsidR="0076699B" w:rsidRPr="0076699B" w:rsidRDefault="0076699B" w:rsidP="00552412">
            <w:pPr>
              <w:pStyle w:val="a7"/>
              <w:spacing w:before="0" w:beforeAutospacing="0" w:after="0" w:afterAutospacing="0"/>
              <w:jc w:val="center"/>
              <w:rPr>
                <w:color w:val="000000"/>
              </w:rPr>
            </w:pPr>
            <w:r w:rsidRPr="0076699B">
              <w:rPr>
                <w:color w:val="000000"/>
              </w:rPr>
              <w:t>Обґрунтування відповідного місця альтернативи у рейтингу</w:t>
            </w:r>
          </w:p>
        </w:tc>
      </w:tr>
      <w:tr w:rsidR="0076699B" w:rsidRPr="0076699B" w14:paraId="6A44C596" w14:textId="77777777" w:rsidTr="00552412">
        <w:trPr>
          <w:trHeight w:val="455"/>
        </w:trPr>
        <w:tc>
          <w:tcPr>
            <w:tcW w:w="1972" w:type="dxa"/>
            <w:shd w:val="clear" w:color="auto" w:fill="auto"/>
          </w:tcPr>
          <w:p w14:paraId="0C9EA12C" w14:textId="77777777" w:rsidR="0076699B" w:rsidRPr="0076699B" w:rsidRDefault="0076699B" w:rsidP="00552412">
            <w:pPr>
              <w:pStyle w:val="a7"/>
              <w:spacing w:before="0" w:beforeAutospacing="0" w:after="0" w:afterAutospacing="0"/>
              <w:jc w:val="both"/>
              <w:rPr>
                <w:color w:val="000000"/>
              </w:rPr>
            </w:pPr>
            <w:r w:rsidRPr="0076699B">
              <w:rPr>
                <w:color w:val="000000"/>
              </w:rPr>
              <w:t>Альтернатива 1</w:t>
            </w:r>
          </w:p>
          <w:p w14:paraId="3C99CCA8" w14:textId="77777777" w:rsidR="0076699B" w:rsidRPr="0076699B" w:rsidRDefault="0076699B" w:rsidP="00552412">
            <w:pPr>
              <w:pStyle w:val="a7"/>
              <w:spacing w:before="0" w:beforeAutospacing="0" w:after="0" w:afterAutospacing="0"/>
              <w:jc w:val="both"/>
              <w:rPr>
                <w:color w:val="000000"/>
              </w:rPr>
            </w:pPr>
            <w:r w:rsidRPr="0076699B">
              <w:rPr>
                <w:color w:val="000000"/>
              </w:rPr>
              <w:t>Прийняття регуляторного акта</w:t>
            </w:r>
          </w:p>
        </w:tc>
        <w:tc>
          <w:tcPr>
            <w:tcW w:w="2389" w:type="dxa"/>
            <w:shd w:val="clear" w:color="auto" w:fill="auto"/>
          </w:tcPr>
          <w:p w14:paraId="734D214B"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Вигоди пов’язані з наближенням до законодавства та стандартів Європейського Союзу в сфері електронних довірчих послуг на виконання завдань спільного робочого плану співпраці між Європейським Союзом та Україною щодо електронних довірчих послуг (лист Представництва Європейського Союзу в Україні від 20 січня 2021 року)</w:t>
            </w:r>
          </w:p>
        </w:tc>
        <w:tc>
          <w:tcPr>
            <w:tcW w:w="2693" w:type="dxa"/>
            <w:shd w:val="clear" w:color="auto" w:fill="auto"/>
          </w:tcPr>
          <w:p w14:paraId="71033966"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Витрати відсутні</w:t>
            </w:r>
          </w:p>
        </w:tc>
        <w:tc>
          <w:tcPr>
            <w:tcW w:w="2800" w:type="dxa"/>
            <w:shd w:val="clear" w:color="auto" w:fill="auto"/>
          </w:tcPr>
          <w:p w14:paraId="23BDE156"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 xml:space="preserve">Реалізація регуляторного акта сприятиме досягненню таких цілей державного регулювання: </w:t>
            </w:r>
          </w:p>
          <w:p w14:paraId="467A6DA5"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покращенню якості надання електронних довірчих послуг шляхом забезпечення відповідності електронних довірчих послуг, що надаються, вимогам європейських та міжнародних стандартів (у разі їх застосування);</w:t>
            </w:r>
          </w:p>
          <w:p w14:paraId="61CD1EC4"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підвищенню рівня довіри до електронних довірчих послуг, електронної ідентифікації, а також електронного документообігу та їх популяризації;</w:t>
            </w:r>
          </w:p>
          <w:p w14:paraId="15223E84"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 xml:space="preserve">підвищенню надійності та захищеності електронного документообігу та електронної ідентифікації, зокрема </w:t>
            </w:r>
            <w:r w:rsidRPr="0076699B">
              <w:rPr>
                <w:color w:val="000000"/>
              </w:rPr>
              <w:lastRenderedPageBreak/>
              <w:t>з використанням електронних довірчих послуг;</w:t>
            </w:r>
          </w:p>
          <w:p w14:paraId="5DC50459"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інтеграції України в світовий інформаційний простір.</w:t>
            </w:r>
          </w:p>
        </w:tc>
      </w:tr>
      <w:tr w:rsidR="0076699B" w:rsidRPr="0076699B" w14:paraId="1E39E5A3" w14:textId="77777777" w:rsidTr="00552412">
        <w:trPr>
          <w:trHeight w:val="455"/>
        </w:trPr>
        <w:tc>
          <w:tcPr>
            <w:tcW w:w="1972" w:type="dxa"/>
            <w:shd w:val="clear" w:color="auto" w:fill="auto"/>
          </w:tcPr>
          <w:p w14:paraId="6B5D03F9" w14:textId="77777777" w:rsidR="0076699B" w:rsidRPr="0076699B" w:rsidRDefault="0076699B" w:rsidP="00552412">
            <w:pPr>
              <w:pStyle w:val="a7"/>
              <w:spacing w:before="0" w:beforeAutospacing="0" w:after="0" w:afterAutospacing="0"/>
              <w:jc w:val="both"/>
              <w:rPr>
                <w:color w:val="000000"/>
              </w:rPr>
            </w:pPr>
            <w:r w:rsidRPr="0076699B">
              <w:rPr>
                <w:color w:val="000000"/>
              </w:rPr>
              <w:lastRenderedPageBreak/>
              <w:t>Альтернатива 2</w:t>
            </w:r>
          </w:p>
          <w:p w14:paraId="6A6E6AA7" w14:textId="77777777" w:rsidR="0076699B" w:rsidRPr="0076699B" w:rsidRDefault="0076699B" w:rsidP="00552412">
            <w:pPr>
              <w:pStyle w:val="a7"/>
              <w:spacing w:before="0" w:beforeAutospacing="0" w:after="0" w:afterAutospacing="0"/>
              <w:jc w:val="both"/>
              <w:rPr>
                <w:color w:val="000000"/>
              </w:rPr>
            </w:pPr>
            <w:r w:rsidRPr="0076699B">
              <w:rPr>
                <w:color w:val="000000"/>
              </w:rPr>
              <w:t>Відсутність регулювання</w:t>
            </w:r>
          </w:p>
        </w:tc>
        <w:tc>
          <w:tcPr>
            <w:tcW w:w="2389" w:type="dxa"/>
            <w:shd w:val="clear" w:color="auto" w:fill="auto"/>
          </w:tcPr>
          <w:p w14:paraId="28FE8AF8"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Вигоди відсутні</w:t>
            </w:r>
          </w:p>
        </w:tc>
        <w:tc>
          <w:tcPr>
            <w:tcW w:w="2693" w:type="dxa"/>
            <w:shd w:val="clear" w:color="auto" w:fill="auto"/>
          </w:tcPr>
          <w:p w14:paraId="48262110" w14:textId="77777777" w:rsidR="0076699B" w:rsidRPr="0076699B" w:rsidRDefault="0076699B" w:rsidP="00552412">
            <w:pPr>
              <w:pStyle w:val="a7"/>
              <w:spacing w:before="0" w:beforeAutospacing="0" w:after="0" w:afterAutospacing="0"/>
              <w:ind w:firstLine="459"/>
              <w:jc w:val="both"/>
              <w:rPr>
                <w:color w:val="000000"/>
              </w:rPr>
            </w:pPr>
            <w:r w:rsidRPr="0076699B">
              <w:rPr>
                <w:color w:val="000000"/>
              </w:rPr>
              <w:t>Витрати відсутні</w:t>
            </w:r>
          </w:p>
        </w:tc>
        <w:tc>
          <w:tcPr>
            <w:tcW w:w="2800" w:type="dxa"/>
            <w:shd w:val="clear" w:color="auto" w:fill="auto"/>
          </w:tcPr>
          <w:p w14:paraId="79CF3BE6" w14:textId="77777777" w:rsidR="0076699B" w:rsidRPr="0076699B" w:rsidRDefault="0076699B" w:rsidP="00552412">
            <w:pPr>
              <w:pStyle w:val="a7"/>
              <w:spacing w:before="0" w:beforeAutospacing="0" w:after="0" w:afterAutospacing="0"/>
              <w:jc w:val="both"/>
              <w:rPr>
                <w:color w:val="000000"/>
              </w:rPr>
            </w:pPr>
            <w:r w:rsidRPr="0076699B">
              <w:rPr>
                <w:color w:val="000000"/>
              </w:rPr>
              <w:t>Відсутність регулювання передбачає залишення існуючого стану справ</w:t>
            </w:r>
          </w:p>
        </w:tc>
      </w:tr>
    </w:tbl>
    <w:p w14:paraId="2E2B5417"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p>
    <w:p w14:paraId="4F45C0D5"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V. Механізми та заходи, які забезпечать розв’язання визначеної проблеми</w:t>
      </w:r>
    </w:p>
    <w:p w14:paraId="3A4B2303" w14:textId="75899E4C" w:rsidR="0076699B" w:rsidRPr="0076699B" w:rsidRDefault="0076699B" w:rsidP="000C545D">
      <w:pPr>
        <w:pStyle w:val="a7"/>
        <w:spacing w:before="0" w:beforeAutospacing="0" w:after="0" w:afterAutospacing="0"/>
        <w:ind w:firstLine="709"/>
        <w:jc w:val="both"/>
        <w:rPr>
          <w:color w:val="000000"/>
          <w:sz w:val="28"/>
          <w:szCs w:val="28"/>
        </w:rPr>
      </w:pPr>
      <w:r w:rsidRPr="0076699B">
        <w:rPr>
          <w:color w:val="000000"/>
          <w:sz w:val="28"/>
          <w:szCs w:val="28"/>
        </w:rPr>
        <w:t>Основним механізмом, який забезпечує розв’язання визначеної проблеми, є внесення змін до постанов Кабінету Міністрів України</w:t>
      </w:r>
      <w:r w:rsidR="000C545D" w:rsidRPr="000C545D">
        <w:rPr>
          <w:color w:val="000000"/>
          <w:sz w:val="28"/>
          <w:szCs w:val="28"/>
        </w:rPr>
        <w:t xml:space="preserve"> </w:t>
      </w:r>
      <w:r w:rsidRPr="0076699B">
        <w:rPr>
          <w:color w:val="000000"/>
          <w:sz w:val="28"/>
          <w:szCs w:val="28"/>
        </w:rPr>
        <w:t>від</w:t>
      </w:r>
      <w:r w:rsidR="000C545D">
        <w:rPr>
          <w:color w:val="000000"/>
          <w:sz w:val="28"/>
          <w:szCs w:val="28"/>
          <w:lang w:val="ru-RU"/>
        </w:rPr>
        <w:t> </w:t>
      </w:r>
      <w:r w:rsidRPr="0076699B">
        <w:rPr>
          <w:color w:val="000000"/>
          <w:sz w:val="28"/>
          <w:szCs w:val="28"/>
        </w:rPr>
        <w:t>7</w:t>
      </w:r>
      <w:r w:rsidR="000C545D">
        <w:rPr>
          <w:color w:val="000000"/>
          <w:sz w:val="28"/>
          <w:szCs w:val="28"/>
          <w:lang w:val="ru-RU"/>
        </w:rPr>
        <w:t> </w:t>
      </w:r>
      <w:r w:rsidRPr="0076699B">
        <w:rPr>
          <w:color w:val="000000"/>
          <w:sz w:val="28"/>
          <w:szCs w:val="28"/>
        </w:rPr>
        <w:t>листопада 2018 р. № 992 “Про затвердження вимог у сфері електронних довірчих послуг та Порядку перевірки дотримання вимог законодавства у сфері електронних довірчих послуг”.</w:t>
      </w:r>
    </w:p>
    <w:p w14:paraId="6F8AEEDF"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Заходами, спрямованими на розв’язання визначеної проблеми є:</w:t>
      </w:r>
    </w:p>
    <w:p w14:paraId="3FFAD779"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розробка регуляторного акта;</w:t>
      </w:r>
    </w:p>
    <w:p w14:paraId="15291D8B"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громадське обговорення регуляторного акта;</w:t>
      </w:r>
    </w:p>
    <w:p w14:paraId="655F1624"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погодження регуляторного акта із заінтересованими органами;</w:t>
      </w:r>
    </w:p>
    <w:p w14:paraId="0BE14935"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врахування зауважень та пропозицій до регуляторного акта, наданих фізичними та юридичними особами, зокрема заінтересованими органами;</w:t>
      </w:r>
    </w:p>
    <w:p w14:paraId="5CC23FD5" w14:textId="77777777" w:rsidR="0076699B" w:rsidRPr="0076699B" w:rsidRDefault="0076699B" w:rsidP="0076699B">
      <w:pPr>
        <w:ind w:firstLine="709"/>
        <w:jc w:val="both"/>
        <w:rPr>
          <w:rFonts w:ascii="Times New Roman" w:hAnsi="Times New Roman" w:cs="Times New Roman"/>
          <w:color w:val="000000"/>
          <w:sz w:val="28"/>
          <w:szCs w:val="28"/>
        </w:rPr>
      </w:pPr>
      <w:r w:rsidRPr="0076699B">
        <w:rPr>
          <w:rFonts w:ascii="Times New Roman" w:hAnsi="Times New Roman" w:cs="Times New Roman"/>
          <w:color w:val="000000"/>
          <w:sz w:val="28"/>
          <w:szCs w:val="28"/>
        </w:rPr>
        <w:t xml:space="preserve">подання регуляторного акта на розгляд Кабінету Міністрів України та його </w:t>
      </w:r>
      <w:r w:rsidRPr="0076699B">
        <w:rPr>
          <w:rFonts w:ascii="Times New Roman" w:hAnsi="Times New Roman" w:cs="Times New Roman"/>
          <w:bCs/>
          <w:color w:val="000000"/>
          <w:sz w:val="28"/>
          <w:szCs w:val="28"/>
        </w:rPr>
        <w:t xml:space="preserve">супровід у Секретаріаті </w:t>
      </w:r>
      <w:r w:rsidRPr="0076699B">
        <w:rPr>
          <w:rFonts w:ascii="Times New Roman" w:hAnsi="Times New Roman" w:cs="Times New Roman"/>
          <w:color w:val="000000"/>
          <w:sz w:val="28"/>
          <w:szCs w:val="28"/>
        </w:rPr>
        <w:t>Кабінету Міністрів України;</w:t>
      </w:r>
    </w:p>
    <w:p w14:paraId="2317B675"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прийняття регуляторного акта Кабінетом Міністрів України;</w:t>
      </w:r>
    </w:p>
    <w:p w14:paraId="5FBF6571"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реалізація положень регуляторного акта.</w:t>
      </w:r>
    </w:p>
    <w:p w14:paraId="4CA39011" w14:textId="77777777" w:rsidR="0076699B" w:rsidRPr="0076699B" w:rsidRDefault="0076699B" w:rsidP="0076699B">
      <w:pPr>
        <w:pStyle w:val="a7"/>
        <w:spacing w:before="0" w:beforeAutospacing="0" w:after="0" w:afterAutospacing="0"/>
        <w:ind w:firstLine="709"/>
        <w:jc w:val="both"/>
        <w:rPr>
          <w:bCs/>
          <w:color w:val="000000"/>
          <w:sz w:val="28"/>
          <w:szCs w:val="28"/>
        </w:rPr>
      </w:pPr>
    </w:p>
    <w:p w14:paraId="39DACB38"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19B30487" w14:textId="77777777" w:rsidR="0076699B" w:rsidRPr="0076699B" w:rsidRDefault="0076699B" w:rsidP="0076699B">
      <w:pPr>
        <w:pStyle w:val="3"/>
        <w:spacing w:before="0" w:beforeAutospacing="0" w:after="0" w:afterAutospacing="0"/>
        <w:ind w:firstLine="709"/>
        <w:jc w:val="both"/>
        <w:rPr>
          <w:rFonts w:ascii="Times New Roman" w:hAnsi="Times New Roman"/>
          <w:bCs/>
          <w:color w:val="000000"/>
          <w:sz w:val="28"/>
          <w:szCs w:val="28"/>
          <w:lang w:val="uk-UA"/>
        </w:rPr>
      </w:pPr>
    </w:p>
    <w:p w14:paraId="03C17913"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ТЕСТ</w:t>
      </w:r>
    </w:p>
    <w:p w14:paraId="304E9310"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малого підприємництва (М-Тест)</w:t>
      </w:r>
    </w:p>
    <w:p w14:paraId="516C9963" w14:textId="77777777" w:rsidR="0076699B" w:rsidRPr="0076699B" w:rsidRDefault="0076699B" w:rsidP="0076699B">
      <w:pPr>
        <w:pStyle w:val="3"/>
        <w:spacing w:before="0" w:beforeAutospacing="0" w:after="0" w:afterAutospacing="0"/>
        <w:ind w:firstLine="709"/>
        <w:jc w:val="both"/>
        <w:rPr>
          <w:rFonts w:ascii="Times New Roman" w:hAnsi="Times New Roman"/>
          <w:b/>
          <w:color w:val="000000"/>
          <w:sz w:val="28"/>
          <w:szCs w:val="28"/>
          <w:lang w:val="uk-UA"/>
        </w:rPr>
      </w:pPr>
      <w:r w:rsidRPr="0076699B">
        <w:rPr>
          <w:rFonts w:ascii="Times New Roman" w:hAnsi="Times New Roman"/>
          <w:b/>
          <w:color w:val="000000"/>
          <w:sz w:val="28"/>
          <w:szCs w:val="28"/>
          <w:lang w:val="uk-UA"/>
        </w:rPr>
        <w:t>1. Консультації з представниками мікро- та малого підприємництва щодо оцінки впливу регулювання</w:t>
      </w:r>
    </w:p>
    <w:p w14:paraId="4E455D3B" w14:textId="77777777" w:rsidR="0076699B" w:rsidRPr="0076699B" w:rsidRDefault="0076699B" w:rsidP="0076699B">
      <w:pPr>
        <w:pBdr>
          <w:top w:val="nil"/>
          <w:left w:val="nil"/>
          <w:bottom w:val="nil"/>
          <w:right w:val="nil"/>
          <w:between w:val="nil"/>
        </w:pBdr>
        <w:ind w:right="125" w:firstLine="709"/>
        <w:jc w:val="both"/>
        <w:rPr>
          <w:rFonts w:ascii="Times New Roman" w:hAnsi="Times New Roman" w:cs="Times New Roman"/>
          <w:color w:val="333333"/>
          <w:sz w:val="28"/>
          <w:szCs w:val="28"/>
        </w:rPr>
      </w:pPr>
      <w:r w:rsidRPr="0076699B">
        <w:rPr>
          <w:rFonts w:ascii="Times New Roman" w:hAnsi="Times New Roman" w:cs="Times New Roman"/>
          <w:color w:val="333333"/>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19 серпня 2022 року по 19 жовтня 2022 року.</w:t>
      </w:r>
    </w:p>
    <w:p w14:paraId="56167A59" w14:textId="77777777" w:rsidR="0076699B" w:rsidRPr="0076699B" w:rsidRDefault="0076699B" w:rsidP="0076699B">
      <w:pPr>
        <w:pBdr>
          <w:top w:val="nil"/>
          <w:left w:val="nil"/>
          <w:bottom w:val="nil"/>
          <w:right w:val="nil"/>
          <w:between w:val="nil"/>
        </w:pBdr>
        <w:rPr>
          <w:rFonts w:ascii="Times New Roman" w:hAnsi="Times New Roman" w:cs="Times New Roman"/>
          <w:color w:val="333333"/>
          <w:sz w:val="10"/>
          <w:szCs w:val="10"/>
        </w:rPr>
      </w:pPr>
    </w:p>
    <w:tbl>
      <w:tblPr>
        <w:tblW w:w="93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060"/>
        <w:gridCol w:w="2043"/>
        <w:gridCol w:w="2592"/>
      </w:tblGrid>
      <w:tr w:rsidR="0076699B" w:rsidRPr="0076699B" w14:paraId="3BF0D2B7" w14:textId="77777777" w:rsidTr="00552412">
        <w:trPr>
          <w:trHeight w:val="3168"/>
        </w:trPr>
        <w:tc>
          <w:tcPr>
            <w:tcW w:w="1701" w:type="dxa"/>
            <w:tcBorders>
              <w:bottom w:val="single" w:sz="4" w:space="0" w:color="000000"/>
            </w:tcBorders>
          </w:tcPr>
          <w:p w14:paraId="376080F9" w14:textId="77777777" w:rsidR="0076699B" w:rsidRPr="0076699B" w:rsidRDefault="0076699B" w:rsidP="00552412">
            <w:pPr>
              <w:pBdr>
                <w:top w:val="nil"/>
                <w:left w:val="nil"/>
                <w:bottom w:val="nil"/>
                <w:right w:val="nil"/>
                <w:between w:val="nil"/>
              </w:pBdr>
              <w:ind w:left="22"/>
              <w:jc w:val="center"/>
              <w:rPr>
                <w:rFonts w:ascii="Times New Roman" w:hAnsi="Times New Roman" w:cs="Times New Roman"/>
                <w:b/>
                <w:color w:val="333333"/>
              </w:rPr>
            </w:pPr>
            <w:r w:rsidRPr="0076699B">
              <w:rPr>
                <w:rFonts w:ascii="Times New Roman" w:hAnsi="Times New Roman" w:cs="Times New Roman"/>
                <w:b/>
                <w:color w:val="333333"/>
              </w:rPr>
              <w:lastRenderedPageBreak/>
              <w:t>Порядковий номер</w:t>
            </w:r>
          </w:p>
        </w:tc>
        <w:tc>
          <w:tcPr>
            <w:tcW w:w="3060" w:type="dxa"/>
            <w:tcBorders>
              <w:bottom w:val="single" w:sz="4" w:space="0" w:color="000000"/>
            </w:tcBorders>
          </w:tcPr>
          <w:p w14:paraId="0C40A5BB" w14:textId="77777777" w:rsidR="0076699B" w:rsidRPr="0076699B" w:rsidRDefault="0076699B" w:rsidP="00552412">
            <w:pPr>
              <w:pBdr>
                <w:top w:val="nil"/>
                <w:left w:val="nil"/>
                <w:bottom w:val="nil"/>
                <w:right w:val="nil"/>
                <w:between w:val="nil"/>
              </w:pBdr>
              <w:ind w:left="99" w:right="80"/>
              <w:jc w:val="center"/>
              <w:rPr>
                <w:rFonts w:ascii="Times New Roman" w:hAnsi="Times New Roman" w:cs="Times New Roman"/>
                <w:b/>
                <w:color w:val="333333"/>
              </w:rPr>
            </w:pPr>
            <w:r w:rsidRPr="0076699B">
              <w:rPr>
                <w:rFonts w:ascii="Times New Roman" w:hAnsi="Times New Roman" w:cs="Times New Roman"/>
                <w:b/>
                <w:color w:val="333333"/>
              </w:rPr>
              <w:t>Вид консультації (публічні консультації прямі (круглі столи, наради, робочі зустрічі тощо), інтернет- консультації прямі (інтернет-форуми, соціальні мережі тощо), запити (до підприємців, експертів, науковців тощо)</w:t>
            </w:r>
          </w:p>
        </w:tc>
        <w:tc>
          <w:tcPr>
            <w:tcW w:w="2043" w:type="dxa"/>
            <w:tcBorders>
              <w:bottom w:val="single" w:sz="4" w:space="0" w:color="000000"/>
            </w:tcBorders>
          </w:tcPr>
          <w:p w14:paraId="27229F2C" w14:textId="77777777" w:rsidR="0076699B" w:rsidRPr="0076699B" w:rsidRDefault="0076699B" w:rsidP="00552412">
            <w:pPr>
              <w:pBdr>
                <w:top w:val="nil"/>
                <w:left w:val="nil"/>
                <w:bottom w:val="nil"/>
                <w:right w:val="nil"/>
                <w:between w:val="nil"/>
              </w:pBdr>
              <w:ind w:left="11" w:right="64"/>
              <w:jc w:val="center"/>
              <w:rPr>
                <w:rFonts w:ascii="Times New Roman" w:hAnsi="Times New Roman" w:cs="Times New Roman"/>
                <w:b/>
                <w:color w:val="333333"/>
              </w:rPr>
            </w:pPr>
            <w:r w:rsidRPr="0076699B">
              <w:rPr>
                <w:rFonts w:ascii="Times New Roman" w:hAnsi="Times New Roman" w:cs="Times New Roman"/>
                <w:b/>
                <w:color w:val="333333"/>
              </w:rPr>
              <w:t>Кількість учасників консультацій, осіб</w:t>
            </w:r>
          </w:p>
        </w:tc>
        <w:tc>
          <w:tcPr>
            <w:tcW w:w="2592" w:type="dxa"/>
            <w:tcBorders>
              <w:bottom w:val="single" w:sz="4" w:space="0" w:color="000000"/>
            </w:tcBorders>
          </w:tcPr>
          <w:p w14:paraId="76412336" w14:textId="77777777" w:rsidR="0076699B" w:rsidRPr="0076699B" w:rsidRDefault="0076699B" w:rsidP="00552412">
            <w:pPr>
              <w:pBdr>
                <w:top w:val="nil"/>
                <w:left w:val="nil"/>
                <w:bottom w:val="nil"/>
                <w:right w:val="nil"/>
                <w:between w:val="nil"/>
              </w:pBdr>
              <w:ind w:left="142"/>
              <w:jc w:val="center"/>
              <w:rPr>
                <w:rFonts w:ascii="Times New Roman" w:hAnsi="Times New Roman" w:cs="Times New Roman"/>
                <w:b/>
                <w:color w:val="333333"/>
              </w:rPr>
            </w:pPr>
            <w:r w:rsidRPr="0076699B">
              <w:rPr>
                <w:rFonts w:ascii="Times New Roman" w:hAnsi="Times New Roman" w:cs="Times New Roman"/>
                <w:b/>
                <w:color w:val="333333"/>
              </w:rPr>
              <w:t>Основні результати консультацій (опис)</w:t>
            </w:r>
          </w:p>
        </w:tc>
      </w:tr>
      <w:tr w:rsidR="0076699B" w:rsidRPr="0076699B" w14:paraId="596EB2A4" w14:textId="77777777" w:rsidTr="00552412">
        <w:trPr>
          <w:trHeight w:val="920"/>
        </w:trPr>
        <w:tc>
          <w:tcPr>
            <w:tcW w:w="1701" w:type="dxa"/>
            <w:tcBorders>
              <w:bottom w:val="single" w:sz="4" w:space="0" w:color="auto"/>
            </w:tcBorders>
          </w:tcPr>
          <w:p w14:paraId="20D09950" w14:textId="77777777" w:rsidR="0076699B" w:rsidRPr="0076699B" w:rsidRDefault="0076699B" w:rsidP="00552412">
            <w:pPr>
              <w:pBdr>
                <w:top w:val="nil"/>
                <w:left w:val="nil"/>
                <w:bottom w:val="nil"/>
                <w:right w:val="nil"/>
                <w:between w:val="nil"/>
              </w:pBdr>
              <w:ind w:left="14"/>
              <w:rPr>
                <w:rFonts w:ascii="Times New Roman" w:hAnsi="Times New Roman" w:cs="Times New Roman"/>
                <w:color w:val="333333"/>
              </w:rPr>
            </w:pPr>
            <w:r w:rsidRPr="0076699B">
              <w:rPr>
                <w:rFonts w:ascii="Times New Roman" w:hAnsi="Times New Roman" w:cs="Times New Roman"/>
                <w:color w:val="333333"/>
              </w:rPr>
              <w:t>1.</w:t>
            </w:r>
          </w:p>
        </w:tc>
        <w:tc>
          <w:tcPr>
            <w:tcW w:w="3060" w:type="dxa"/>
            <w:tcBorders>
              <w:bottom w:val="single" w:sz="4" w:space="0" w:color="auto"/>
            </w:tcBorders>
          </w:tcPr>
          <w:p w14:paraId="7D965BF0" w14:textId="77777777" w:rsidR="0076699B" w:rsidRPr="0076699B" w:rsidRDefault="0076699B" w:rsidP="00552412">
            <w:pPr>
              <w:pBdr>
                <w:top w:val="nil"/>
                <w:left w:val="nil"/>
                <w:bottom w:val="nil"/>
                <w:right w:val="nil"/>
                <w:between w:val="nil"/>
              </w:pBdr>
              <w:tabs>
                <w:tab w:val="left" w:pos="2102"/>
              </w:tabs>
              <w:ind w:right="99"/>
              <w:jc w:val="center"/>
              <w:rPr>
                <w:rFonts w:ascii="Times New Roman" w:hAnsi="Times New Roman" w:cs="Times New Roman"/>
                <w:color w:val="333333"/>
              </w:rPr>
            </w:pPr>
            <w:r w:rsidRPr="0076699B">
              <w:rPr>
                <w:rFonts w:ascii="Times New Roman" w:hAnsi="Times New Roman" w:cs="Times New Roman"/>
                <w:color w:val="333333"/>
              </w:rPr>
              <w:t>Запити до кваліфікованих</w:t>
            </w:r>
          </w:p>
          <w:p w14:paraId="0C520A24" w14:textId="77777777" w:rsidR="0076699B" w:rsidRPr="0076699B" w:rsidRDefault="0076699B" w:rsidP="00552412">
            <w:pPr>
              <w:pBdr>
                <w:top w:val="nil"/>
                <w:left w:val="nil"/>
                <w:bottom w:val="nil"/>
                <w:right w:val="nil"/>
                <w:between w:val="nil"/>
              </w:pBdr>
              <w:tabs>
                <w:tab w:val="left" w:pos="2102"/>
              </w:tabs>
              <w:ind w:right="99"/>
              <w:jc w:val="center"/>
              <w:rPr>
                <w:rFonts w:ascii="Times New Roman" w:hAnsi="Times New Roman" w:cs="Times New Roman"/>
                <w:color w:val="333333"/>
              </w:rPr>
            </w:pPr>
            <w:r w:rsidRPr="0076699B">
              <w:rPr>
                <w:rFonts w:ascii="Times New Roman" w:hAnsi="Times New Roman" w:cs="Times New Roman"/>
                <w:color w:val="333333"/>
              </w:rPr>
              <w:t>надавачів електронних</w:t>
            </w:r>
          </w:p>
          <w:p w14:paraId="425BB59C" w14:textId="77777777" w:rsidR="0076699B" w:rsidRPr="0076699B" w:rsidRDefault="0076699B" w:rsidP="00552412">
            <w:pPr>
              <w:pBdr>
                <w:top w:val="nil"/>
                <w:left w:val="nil"/>
                <w:bottom w:val="nil"/>
                <w:right w:val="nil"/>
                <w:between w:val="nil"/>
              </w:pBdr>
              <w:tabs>
                <w:tab w:val="left" w:pos="2102"/>
              </w:tabs>
              <w:ind w:right="99"/>
              <w:jc w:val="center"/>
              <w:rPr>
                <w:rFonts w:ascii="Times New Roman" w:hAnsi="Times New Roman" w:cs="Times New Roman"/>
                <w:color w:val="333333"/>
              </w:rPr>
            </w:pPr>
            <w:r w:rsidRPr="0076699B">
              <w:rPr>
                <w:rFonts w:ascii="Times New Roman" w:hAnsi="Times New Roman" w:cs="Times New Roman"/>
                <w:color w:val="333333"/>
              </w:rPr>
              <w:t>довірчих послуг</w:t>
            </w:r>
          </w:p>
        </w:tc>
        <w:tc>
          <w:tcPr>
            <w:tcW w:w="2043" w:type="dxa"/>
            <w:tcBorders>
              <w:bottom w:val="single" w:sz="4" w:space="0" w:color="auto"/>
            </w:tcBorders>
          </w:tcPr>
          <w:p w14:paraId="5352F3CB" w14:textId="77777777" w:rsidR="0076699B" w:rsidRPr="0076699B" w:rsidRDefault="0076699B" w:rsidP="00552412">
            <w:pPr>
              <w:pBdr>
                <w:top w:val="nil"/>
                <w:left w:val="nil"/>
                <w:bottom w:val="nil"/>
                <w:right w:val="nil"/>
                <w:between w:val="nil"/>
              </w:pBdr>
              <w:ind w:left="545" w:right="545"/>
              <w:jc w:val="center"/>
              <w:rPr>
                <w:rFonts w:ascii="Times New Roman" w:hAnsi="Times New Roman" w:cs="Times New Roman"/>
                <w:color w:val="333333"/>
              </w:rPr>
            </w:pPr>
            <w:r w:rsidRPr="0076699B">
              <w:rPr>
                <w:rFonts w:ascii="Times New Roman" w:hAnsi="Times New Roman" w:cs="Times New Roman"/>
                <w:color w:val="333333"/>
              </w:rPr>
              <w:t>12</w:t>
            </w:r>
          </w:p>
        </w:tc>
        <w:tc>
          <w:tcPr>
            <w:tcW w:w="2592" w:type="dxa"/>
            <w:tcBorders>
              <w:bottom w:val="single" w:sz="4" w:space="0" w:color="auto"/>
            </w:tcBorders>
          </w:tcPr>
          <w:p w14:paraId="305F8F95" w14:textId="77777777" w:rsidR="0076699B" w:rsidRPr="0076699B" w:rsidRDefault="0076699B" w:rsidP="00552412">
            <w:pPr>
              <w:pBdr>
                <w:top w:val="nil"/>
                <w:left w:val="nil"/>
                <w:bottom w:val="nil"/>
                <w:right w:val="nil"/>
                <w:between w:val="nil"/>
              </w:pBdr>
              <w:ind w:left="14" w:right="2"/>
              <w:jc w:val="center"/>
              <w:rPr>
                <w:rFonts w:ascii="Times New Roman" w:hAnsi="Times New Roman" w:cs="Times New Roman"/>
                <w:color w:val="333333"/>
              </w:rPr>
            </w:pPr>
            <w:r w:rsidRPr="0076699B">
              <w:rPr>
                <w:rFonts w:ascii="Times New Roman" w:hAnsi="Times New Roman" w:cs="Times New Roman"/>
                <w:color w:val="333333"/>
              </w:rPr>
              <w:t>Реалізацію</w:t>
            </w:r>
          </w:p>
          <w:p w14:paraId="5D1422FD" w14:textId="77777777" w:rsidR="0076699B" w:rsidRPr="0076699B" w:rsidRDefault="0076699B" w:rsidP="00552412">
            <w:pPr>
              <w:pBdr>
                <w:top w:val="nil"/>
                <w:left w:val="nil"/>
                <w:bottom w:val="nil"/>
                <w:right w:val="nil"/>
                <w:between w:val="nil"/>
              </w:pBdr>
              <w:ind w:left="14" w:right="2"/>
              <w:jc w:val="center"/>
              <w:rPr>
                <w:rFonts w:ascii="Times New Roman" w:hAnsi="Times New Roman" w:cs="Times New Roman"/>
                <w:color w:val="333333"/>
              </w:rPr>
            </w:pPr>
            <w:r w:rsidRPr="0076699B">
              <w:rPr>
                <w:rFonts w:ascii="Times New Roman" w:hAnsi="Times New Roman" w:cs="Times New Roman"/>
                <w:color w:val="333333"/>
              </w:rPr>
              <w:t>регуляторного акта</w:t>
            </w:r>
          </w:p>
          <w:p w14:paraId="688F3846" w14:textId="77777777" w:rsidR="0076699B" w:rsidRPr="0076699B" w:rsidRDefault="0076699B" w:rsidP="00552412">
            <w:pPr>
              <w:pBdr>
                <w:top w:val="nil"/>
                <w:left w:val="nil"/>
                <w:bottom w:val="nil"/>
                <w:right w:val="nil"/>
                <w:between w:val="nil"/>
              </w:pBdr>
              <w:ind w:left="14" w:right="2"/>
              <w:jc w:val="center"/>
              <w:rPr>
                <w:rFonts w:ascii="Times New Roman" w:hAnsi="Times New Roman" w:cs="Times New Roman"/>
                <w:color w:val="333333"/>
              </w:rPr>
            </w:pPr>
            <w:r w:rsidRPr="0076699B">
              <w:rPr>
                <w:rFonts w:ascii="Times New Roman" w:hAnsi="Times New Roman" w:cs="Times New Roman"/>
                <w:color w:val="333333"/>
              </w:rPr>
              <w:t>підтримано</w:t>
            </w:r>
          </w:p>
        </w:tc>
      </w:tr>
    </w:tbl>
    <w:p w14:paraId="06C815EC" w14:textId="77777777" w:rsidR="0076699B" w:rsidRPr="0076699B" w:rsidRDefault="0076699B" w:rsidP="0076699B">
      <w:pPr>
        <w:pStyle w:val="3"/>
        <w:spacing w:before="0" w:beforeAutospacing="0" w:after="0" w:afterAutospacing="0"/>
        <w:ind w:firstLine="709"/>
        <w:jc w:val="both"/>
        <w:rPr>
          <w:rFonts w:ascii="Times New Roman" w:hAnsi="Times New Roman"/>
          <w:b/>
          <w:color w:val="000000"/>
          <w:sz w:val="28"/>
          <w:szCs w:val="28"/>
          <w:lang w:val="uk-UA"/>
        </w:rPr>
      </w:pPr>
      <w:r w:rsidRPr="0076699B">
        <w:rPr>
          <w:rFonts w:ascii="Times New Roman" w:hAnsi="Times New Roman"/>
          <w:b/>
          <w:color w:val="000000"/>
          <w:sz w:val="28"/>
          <w:szCs w:val="28"/>
          <w:lang w:val="uk-UA"/>
        </w:rPr>
        <w:t>2. Вимірювання впливу регулювання на суб’єктів малого підприємництва (мікро- та малі):</w:t>
      </w:r>
    </w:p>
    <w:p w14:paraId="44FDB821" w14:textId="77777777" w:rsidR="0076699B" w:rsidRPr="0076699B" w:rsidRDefault="0076699B" w:rsidP="0076699B">
      <w:pPr>
        <w:widowControl w:val="0"/>
        <w:pBdr>
          <w:top w:val="nil"/>
          <w:left w:val="nil"/>
          <w:bottom w:val="nil"/>
          <w:right w:val="nil"/>
          <w:between w:val="nil"/>
        </w:pBdr>
        <w:tabs>
          <w:tab w:val="left" w:pos="956"/>
        </w:tabs>
        <w:ind w:right="135" w:firstLine="709"/>
        <w:jc w:val="both"/>
        <w:rPr>
          <w:rFonts w:ascii="Times New Roman" w:hAnsi="Times New Roman" w:cs="Times New Roman"/>
          <w:sz w:val="28"/>
          <w:szCs w:val="28"/>
        </w:rPr>
      </w:pPr>
      <w:r w:rsidRPr="0076699B">
        <w:rPr>
          <w:rFonts w:ascii="Times New Roman" w:hAnsi="Times New Roman" w:cs="Times New Roman"/>
          <w:sz w:val="28"/>
          <w:szCs w:val="28"/>
        </w:rPr>
        <w:t>кількість суб’єктів малого підприємництва, на яких поширюється регулювання: 3;</w:t>
      </w:r>
    </w:p>
    <w:p w14:paraId="548DA912" w14:textId="77777777" w:rsidR="0076699B" w:rsidRPr="0076699B" w:rsidRDefault="0076699B" w:rsidP="0076699B">
      <w:pPr>
        <w:widowControl w:val="0"/>
        <w:pBdr>
          <w:top w:val="nil"/>
          <w:left w:val="nil"/>
          <w:bottom w:val="nil"/>
          <w:right w:val="nil"/>
          <w:between w:val="nil"/>
        </w:pBdr>
        <w:tabs>
          <w:tab w:val="left" w:pos="956"/>
        </w:tabs>
        <w:ind w:right="135" w:firstLine="709"/>
        <w:jc w:val="both"/>
        <w:rPr>
          <w:rFonts w:ascii="Times New Roman" w:hAnsi="Times New Roman" w:cs="Times New Roman"/>
          <w:sz w:val="28"/>
          <w:szCs w:val="28"/>
        </w:rPr>
      </w:pPr>
      <w:r w:rsidRPr="0076699B">
        <w:rPr>
          <w:rFonts w:ascii="Times New Roman" w:hAnsi="Times New Roman" w:cs="Times New Roman"/>
          <w:sz w:val="28"/>
          <w:szCs w:val="28"/>
        </w:rPr>
        <w:t>питома вага суб’єктів малого підприємництва у загальній кількості суб’єктів господарювання, на яких проблема справляє вплив: 25%.</w:t>
      </w:r>
    </w:p>
    <w:p w14:paraId="599C04A2" w14:textId="77777777" w:rsidR="0076699B" w:rsidRPr="0076699B" w:rsidRDefault="0076699B" w:rsidP="0076699B">
      <w:pPr>
        <w:pStyle w:val="3"/>
        <w:spacing w:before="0" w:beforeAutospacing="0" w:after="0" w:afterAutospacing="0"/>
        <w:ind w:firstLine="709"/>
        <w:jc w:val="both"/>
        <w:rPr>
          <w:rFonts w:ascii="Times New Roman" w:hAnsi="Times New Roman"/>
          <w:b/>
          <w:color w:val="000000"/>
          <w:sz w:val="28"/>
          <w:szCs w:val="28"/>
          <w:lang w:val="uk-UA"/>
        </w:rPr>
      </w:pPr>
      <w:r w:rsidRPr="0076699B">
        <w:rPr>
          <w:rFonts w:ascii="Times New Roman" w:hAnsi="Times New Roman"/>
          <w:b/>
          <w:color w:val="000000"/>
          <w:sz w:val="28"/>
          <w:szCs w:val="28"/>
          <w:lang w:val="uk-UA"/>
        </w:rPr>
        <w:t>3. Розрахунок витрат суб’єктів малого підприємництва на виконання вимог регулювання</w:t>
      </w:r>
    </w:p>
    <w:p w14:paraId="516AA6AC"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З огляду на відомості, одержані на запит Міністерства цифрової трансформації України від кваліфікованих надавачів електронних довірчих послуг, що є суб’єктами господарювання, витрати суб’єктів малого підприємництва на виконання вимог регулювання, відсутні.</w:t>
      </w:r>
    </w:p>
    <w:p w14:paraId="0388FCF0"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Відсутність витрат, які виникають внаслідок дії регуляторного акта, пояснюється тим, що регуляторним актом пропонується:</w:t>
      </w:r>
    </w:p>
    <w:p w14:paraId="395C3E9B" w14:textId="752D6BF4"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 xml:space="preserve">1) актуалізувати </w:t>
      </w:r>
      <w:r w:rsidRPr="0076699B">
        <w:rPr>
          <w:sz w:val="28"/>
          <w:szCs w:val="28"/>
        </w:rPr>
        <w:t>Перелік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затверджених постановою Кабінету Міністрів України від 7 листопада 2018 р. № 992.</w:t>
      </w:r>
    </w:p>
    <w:p w14:paraId="22DA9BB9"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Водночас кваліфіковані надавачі електронних довірчих послуг мають право самостійно обирати, які саме стандарти будуть ними застосовуватися при наданні довірчих послуг з переліку стандартів, визначеного Кабінетом Міністрів України (частина перша статті 13 Закону України «Про електронні довірчі послуги»);</w:t>
      </w:r>
    </w:p>
    <w:p w14:paraId="67748299"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З огляду на зазначене кваліфіковані надавачі електронних довірчих послуг не вбачають збільшення витрат, пов’язаних з наданням електронних довірчих послуг, у зв’язку з реалізацією положень регуляторного акта.</w:t>
      </w:r>
    </w:p>
    <w:p w14:paraId="7BC31C78" w14:textId="77777777" w:rsidR="0076699B" w:rsidRPr="0076699B" w:rsidRDefault="0076699B" w:rsidP="0076699B">
      <w:pPr>
        <w:pStyle w:val="3"/>
        <w:spacing w:before="0" w:beforeAutospacing="0" w:after="0" w:afterAutospacing="0"/>
        <w:ind w:firstLine="709"/>
        <w:jc w:val="both"/>
        <w:rPr>
          <w:rFonts w:ascii="Times New Roman" w:hAnsi="Times New Roman"/>
          <w:b/>
          <w:color w:val="000000"/>
          <w:sz w:val="28"/>
          <w:szCs w:val="28"/>
          <w:lang w:val="uk-UA"/>
        </w:rPr>
      </w:pPr>
      <w:r w:rsidRPr="0076699B">
        <w:rPr>
          <w:rFonts w:ascii="Times New Roman" w:hAnsi="Times New Roman"/>
          <w:bCs/>
          <w:color w:val="000000"/>
          <w:sz w:val="28"/>
          <w:szCs w:val="28"/>
          <w:lang w:val="uk-UA"/>
        </w:rPr>
        <w:t>Крім того, реалізація положень регуляторного акта не передбачає бюджетних витрат на адміністрування регулювання суб’єктів господарювання.</w:t>
      </w:r>
    </w:p>
    <w:p w14:paraId="07280F39" w14:textId="77777777" w:rsidR="0076699B" w:rsidRPr="0076699B" w:rsidRDefault="0076699B" w:rsidP="0076699B">
      <w:pPr>
        <w:pStyle w:val="3"/>
        <w:spacing w:before="0" w:beforeAutospacing="0" w:after="0" w:afterAutospacing="0"/>
        <w:ind w:firstLine="709"/>
        <w:jc w:val="both"/>
        <w:rPr>
          <w:rFonts w:ascii="Times New Roman" w:hAnsi="Times New Roman"/>
          <w:b/>
          <w:color w:val="000000"/>
          <w:sz w:val="28"/>
          <w:szCs w:val="28"/>
          <w:lang w:val="uk-UA"/>
        </w:rPr>
      </w:pPr>
      <w:r w:rsidRPr="0076699B">
        <w:rPr>
          <w:rFonts w:ascii="Times New Roman" w:hAnsi="Times New Roman"/>
          <w:b/>
          <w:color w:val="000000"/>
          <w:sz w:val="28"/>
          <w:szCs w:val="28"/>
          <w:lang w:val="uk-UA"/>
        </w:rPr>
        <w:lastRenderedPageBreak/>
        <w:t>4. Розроблення коригуючих (пом’якшувальних) заходів для малого підприємництва щодо запропонованого регулювання</w:t>
      </w:r>
    </w:p>
    <w:p w14:paraId="26DCB947" w14:textId="77777777" w:rsidR="0076699B" w:rsidRPr="0076699B" w:rsidRDefault="0076699B" w:rsidP="0076699B">
      <w:pPr>
        <w:pStyle w:val="3"/>
        <w:spacing w:before="0" w:beforeAutospacing="0" w:after="0" w:afterAutospacing="0"/>
        <w:ind w:firstLine="709"/>
        <w:jc w:val="both"/>
        <w:rPr>
          <w:rFonts w:ascii="Times New Roman" w:hAnsi="Times New Roman"/>
          <w:bCs/>
          <w:color w:val="000000"/>
          <w:sz w:val="28"/>
          <w:szCs w:val="28"/>
          <w:lang w:val="uk-UA"/>
        </w:rPr>
      </w:pPr>
      <w:r w:rsidRPr="0076699B">
        <w:rPr>
          <w:rFonts w:ascii="Times New Roman" w:hAnsi="Times New Roman"/>
          <w:bCs/>
          <w:color w:val="000000"/>
          <w:sz w:val="28"/>
          <w:szCs w:val="28"/>
          <w:lang w:val="uk-UA"/>
        </w:rPr>
        <w:t>Положення регуляторного акта не передбачають вжиття коригуючих (пом’якшувальних) заходів для малого підприємництва щодо запропонованого регулювання.</w:t>
      </w:r>
    </w:p>
    <w:p w14:paraId="7CBC9BC7" w14:textId="77777777" w:rsidR="0076699B" w:rsidRPr="0076699B" w:rsidRDefault="0076699B" w:rsidP="0076699B">
      <w:pPr>
        <w:pStyle w:val="3"/>
        <w:spacing w:before="0" w:beforeAutospacing="0" w:after="0" w:afterAutospacing="0"/>
        <w:ind w:firstLine="709"/>
        <w:jc w:val="both"/>
        <w:rPr>
          <w:rFonts w:ascii="Times New Roman" w:hAnsi="Times New Roman"/>
          <w:bCs/>
          <w:color w:val="000000"/>
          <w:sz w:val="28"/>
          <w:szCs w:val="28"/>
          <w:lang w:val="uk-UA"/>
        </w:rPr>
      </w:pPr>
      <w:r w:rsidRPr="0076699B">
        <w:rPr>
          <w:rFonts w:ascii="Times New Roman" w:hAnsi="Times New Roman"/>
          <w:bCs/>
          <w:color w:val="000000"/>
          <w:sz w:val="28"/>
          <w:szCs w:val="28"/>
          <w:lang w:val="uk-UA"/>
        </w:rPr>
        <w:t>З огляду на зазначене компенсаторні механізми, спрямовані на вирівнювання питомої вартості адміністративного навантаження між суб’єктами великого, середнього та малого підприємництва, відсутні.</w:t>
      </w:r>
    </w:p>
    <w:p w14:paraId="6AB109F7" w14:textId="77777777" w:rsidR="0076699B" w:rsidRPr="0076699B" w:rsidRDefault="0076699B" w:rsidP="0076699B">
      <w:pPr>
        <w:pStyle w:val="3"/>
        <w:spacing w:before="0" w:beforeAutospacing="0" w:after="0" w:afterAutospacing="0"/>
        <w:ind w:firstLine="709"/>
        <w:jc w:val="both"/>
        <w:rPr>
          <w:rFonts w:ascii="Times New Roman" w:hAnsi="Times New Roman"/>
          <w:bCs/>
          <w:color w:val="000000"/>
          <w:sz w:val="28"/>
          <w:szCs w:val="28"/>
          <w:lang w:val="uk-UA"/>
        </w:rPr>
      </w:pPr>
      <w:r w:rsidRPr="0076699B">
        <w:rPr>
          <w:rFonts w:ascii="Times New Roman" w:hAnsi="Times New Roman"/>
          <w:bCs/>
          <w:color w:val="000000"/>
          <w:sz w:val="28"/>
          <w:szCs w:val="28"/>
          <w:lang w:val="uk-UA"/>
        </w:rPr>
        <w:t>Враховуючи викладене, повторна оцінка витрат суб’єктів малого підприємництва для скорегованих процедур не проводилася.</w:t>
      </w:r>
    </w:p>
    <w:p w14:paraId="24D83F7E" w14:textId="77777777" w:rsidR="0076699B" w:rsidRPr="0076699B" w:rsidRDefault="0076699B" w:rsidP="0076699B">
      <w:pPr>
        <w:pStyle w:val="3"/>
        <w:spacing w:before="0" w:beforeAutospacing="0" w:after="0" w:afterAutospacing="0"/>
        <w:ind w:firstLine="709"/>
        <w:jc w:val="both"/>
        <w:rPr>
          <w:rFonts w:ascii="Times New Roman" w:hAnsi="Times New Roman"/>
          <w:bCs/>
          <w:color w:val="000000"/>
          <w:sz w:val="28"/>
          <w:szCs w:val="28"/>
          <w:lang w:val="uk-UA"/>
        </w:rPr>
      </w:pPr>
    </w:p>
    <w:p w14:paraId="17089ACB"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VII. Обґрунтування запропонованого строку дії регуляторного акта</w:t>
      </w:r>
    </w:p>
    <w:p w14:paraId="4027254E"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Строк дії регуляторного акта не обмежений у часі.</w:t>
      </w:r>
    </w:p>
    <w:p w14:paraId="38CEE6B8" w14:textId="77777777" w:rsidR="0076699B" w:rsidRPr="0076699B" w:rsidRDefault="0076699B" w:rsidP="0076699B">
      <w:pPr>
        <w:pStyle w:val="a7"/>
        <w:spacing w:before="0" w:beforeAutospacing="0" w:after="0" w:afterAutospacing="0"/>
        <w:ind w:firstLine="709"/>
        <w:jc w:val="both"/>
        <w:rPr>
          <w:color w:val="000000"/>
          <w:sz w:val="28"/>
          <w:szCs w:val="28"/>
        </w:rPr>
      </w:pPr>
      <w:r w:rsidRPr="0076699B">
        <w:rPr>
          <w:color w:val="000000"/>
          <w:sz w:val="28"/>
          <w:szCs w:val="28"/>
        </w:rPr>
        <w:t>Зміна строку дії регуляторного акта можлива у разі прийняття змін до нього або визнання його таким, що втратив чинність.</w:t>
      </w:r>
    </w:p>
    <w:p w14:paraId="74760253" w14:textId="77777777" w:rsidR="0076699B" w:rsidRPr="0076699B" w:rsidRDefault="0076699B" w:rsidP="0076699B">
      <w:pPr>
        <w:pStyle w:val="a7"/>
        <w:spacing w:before="0" w:beforeAutospacing="0" w:after="0" w:afterAutospacing="0"/>
        <w:ind w:firstLine="709"/>
        <w:jc w:val="both"/>
        <w:rPr>
          <w:sz w:val="28"/>
          <w:szCs w:val="28"/>
        </w:rPr>
      </w:pPr>
      <w:r w:rsidRPr="0076699B">
        <w:rPr>
          <w:color w:val="000000"/>
          <w:sz w:val="28"/>
          <w:szCs w:val="28"/>
        </w:rPr>
        <w:t xml:space="preserve">Регуляторний акт набирає чинності </w:t>
      </w:r>
      <w:r w:rsidRPr="0076699B">
        <w:rPr>
          <w:sz w:val="28"/>
          <w:szCs w:val="28"/>
        </w:rPr>
        <w:t>з дня його опублікування, крім підпункту 1 пункту 1 змін, затверджених регуляторним актом, який набирає чинності та застосовується з 1 січня 2024 р (одночасно з введенням в дію Закону України від 18 листопада 2021 р. № 1909-IX «Про страхування).</w:t>
      </w:r>
    </w:p>
    <w:p w14:paraId="6E44100D" w14:textId="77777777" w:rsidR="0076699B" w:rsidRPr="0076699B" w:rsidRDefault="0076699B" w:rsidP="0076699B">
      <w:pPr>
        <w:pStyle w:val="a7"/>
        <w:spacing w:before="0" w:beforeAutospacing="0" w:after="0" w:afterAutospacing="0"/>
        <w:ind w:firstLine="709"/>
        <w:jc w:val="both"/>
        <w:rPr>
          <w:color w:val="000000"/>
          <w:sz w:val="28"/>
          <w:szCs w:val="28"/>
        </w:rPr>
      </w:pPr>
    </w:p>
    <w:p w14:paraId="4428C420"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VIII. Визначення показників результативності дії регуляторного акта</w:t>
      </w:r>
    </w:p>
    <w:p w14:paraId="6AF8CDC6"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t>Показники результативності дії регуляторного акта:</w:t>
      </w:r>
    </w:p>
    <w:p w14:paraId="65FB1013"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t>розмір надходжень до державного та місцевих бюджетів і державних цільових фондів, пов’язаних з дією регуляторного акта (оцінюватиметься через рік з дня набрання чинності регуляторним актом);</w:t>
      </w:r>
    </w:p>
    <w:p w14:paraId="6BA49F83"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t>кількість суб’єктів господарювання та/або фізичних осіб, на яких поширюватиметься дія акта (12 суб’єктів);</w:t>
      </w:r>
    </w:p>
    <w:p w14:paraId="25885309"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t>розмір коштів і час, що витрачатимуться суб’єктами господарювання та/або фізичними особами, пов’язаними з виконанням вимог акта;</w:t>
      </w:r>
    </w:p>
    <w:p w14:paraId="79E65037"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t>рівень поінформованості суб’єктів господарювання та/або фізичних осіб з основних положень акта (високий, оскільки регуляторний акт розміщено на офіційному веб-сайті Міністерства цифрової трансформації України);</w:t>
      </w:r>
    </w:p>
    <w:p w14:paraId="36C2EAA2" w14:textId="7A510306" w:rsidR="0076699B" w:rsidRPr="0076699B" w:rsidRDefault="0076699B" w:rsidP="000C545D">
      <w:pPr>
        <w:pStyle w:val="3"/>
        <w:spacing w:before="0" w:beforeAutospacing="0" w:after="0" w:afterAutospacing="0"/>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t>кількість європейських та міжнародних стандартів у сфері електронних довірчих послуг впроваджених кваліфікованими надавачами електронних довірчих послуг</w:t>
      </w:r>
      <w:r w:rsidRPr="0076699B">
        <w:rPr>
          <w:rFonts w:ascii="Times New Roman" w:hAnsi="Times New Roman"/>
          <w:color w:val="000000"/>
          <w:sz w:val="28"/>
          <w:szCs w:val="28"/>
          <w:lang w:val="uk-UA" w:eastAsia="ar-SA"/>
        </w:rPr>
        <w:t>.</w:t>
      </w:r>
    </w:p>
    <w:p w14:paraId="6EB011AE" w14:textId="77777777" w:rsidR="0076699B" w:rsidRPr="0076699B" w:rsidRDefault="0076699B" w:rsidP="0076699B">
      <w:pPr>
        <w:pStyle w:val="HTML"/>
        <w:ind w:firstLine="709"/>
        <w:jc w:val="both"/>
        <w:rPr>
          <w:rFonts w:ascii="Times New Roman" w:hAnsi="Times New Roman"/>
          <w:color w:val="000000"/>
          <w:sz w:val="28"/>
          <w:szCs w:val="28"/>
          <w:lang w:val="uk-UA" w:eastAsia="ar-SA"/>
        </w:rPr>
      </w:pPr>
    </w:p>
    <w:p w14:paraId="73A32F54" w14:textId="77777777" w:rsidR="0076699B" w:rsidRPr="0076699B" w:rsidRDefault="0076699B" w:rsidP="0076699B">
      <w:pPr>
        <w:pStyle w:val="3"/>
        <w:spacing w:before="0" w:beforeAutospacing="0" w:after="0" w:afterAutospacing="0"/>
        <w:jc w:val="center"/>
        <w:rPr>
          <w:rFonts w:ascii="Times New Roman" w:hAnsi="Times New Roman"/>
          <w:b/>
          <w:color w:val="000000"/>
          <w:sz w:val="28"/>
          <w:szCs w:val="28"/>
          <w:lang w:val="uk-UA"/>
        </w:rPr>
      </w:pPr>
      <w:r w:rsidRPr="0076699B">
        <w:rPr>
          <w:rFonts w:ascii="Times New Roman" w:hAnsi="Times New Roman"/>
          <w:b/>
          <w:color w:val="000000"/>
          <w:sz w:val="28"/>
          <w:szCs w:val="28"/>
          <w:lang w:val="uk-UA"/>
        </w:rPr>
        <w:t>IX. Визначення заходів, за допомогою яких здійснюватиметься відстеження результативності дії регуляторного акта</w:t>
      </w:r>
    </w:p>
    <w:p w14:paraId="565B91BD" w14:textId="77777777" w:rsidR="0076699B" w:rsidRPr="0076699B" w:rsidRDefault="0076699B" w:rsidP="0076699B">
      <w:pPr>
        <w:pStyle w:val="3"/>
        <w:spacing w:before="0" w:beforeAutospacing="0" w:after="0" w:afterAutospacing="0"/>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t>Відповідно до законодавства здійснюється базове, повторне та періодичне відстеження результативності регуляторного акта у строки, встановлені статтею 10 Закону України «Про засади державної регуляторної політики у сфері господарської діяльності».</w:t>
      </w:r>
    </w:p>
    <w:p w14:paraId="11F2F2FA" w14:textId="77777777" w:rsidR="0076699B" w:rsidRPr="0076699B" w:rsidRDefault="0076699B" w:rsidP="0076699B">
      <w:pPr>
        <w:pStyle w:val="HTML"/>
        <w:tabs>
          <w:tab w:val="clear" w:pos="916"/>
          <w:tab w:val="left" w:pos="540"/>
        </w:tabs>
        <w:ind w:firstLine="709"/>
        <w:jc w:val="both"/>
        <w:rPr>
          <w:rFonts w:ascii="Times New Roman" w:hAnsi="Times New Roman"/>
          <w:color w:val="000000"/>
          <w:sz w:val="28"/>
          <w:szCs w:val="28"/>
          <w:lang w:val="uk-UA"/>
        </w:rPr>
      </w:pPr>
      <w:r w:rsidRPr="0076699B">
        <w:rPr>
          <w:rFonts w:ascii="Times New Roman" w:hAnsi="Times New Roman"/>
          <w:color w:val="000000"/>
          <w:sz w:val="28"/>
          <w:szCs w:val="28"/>
          <w:lang w:val="uk-UA"/>
        </w:rPr>
        <w:lastRenderedPageBreak/>
        <w:t>Базове відстеження результативності регуляторного акта буде здійснюватися через рік після набрання ним чинності, оскільки планується використовувати статистичний метод відстеження та статистичні дані.</w:t>
      </w:r>
    </w:p>
    <w:p w14:paraId="30602934" w14:textId="77777777" w:rsidR="0076699B" w:rsidRPr="0076699B" w:rsidRDefault="0076699B" w:rsidP="0076699B">
      <w:pPr>
        <w:pStyle w:val="a7"/>
        <w:spacing w:before="0" w:beforeAutospacing="0" w:after="0" w:afterAutospacing="0"/>
        <w:ind w:right="-1" w:firstLine="709"/>
        <w:jc w:val="both"/>
        <w:rPr>
          <w:color w:val="000000"/>
          <w:sz w:val="28"/>
          <w:szCs w:val="28"/>
        </w:rPr>
      </w:pPr>
      <w:r w:rsidRPr="0076699B">
        <w:rPr>
          <w:color w:val="000000"/>
          <w:sz w:val="28"/>
          <w:szCs w:val="28"/>
        </w:rPr>
        <w:t>Повторне відстеження планується здійснити через рік після проведення базового відстеження на основі порівняння показників базового та повторного відстеження.</w:t>
      </w:r>
    </w:p>
    <w:p w14:paraId="74197532" w14:textId="77777777" w:rsidR="0076699B" w:rsidRPr="0076699B" w:rsidRDefault="0076699B" w:rsidP="0076699B">
      <w:pPr>
        <w:pStyle w:val="a7"/>
        <w:spacing w:before="0" w:beforeAutospacing="0" w:after="0" w:afterAutospacing="0"/>
        <w:ind w:right="-1" w:firstLine="709"/>
        <w:jc w:val="both"/>
        <w:rPr>
          <w:color w:val="000000"/>
          <w:sz w:val="28"/>
          <w:szCs w:val="28"/>
        </w:rPr>
      </w:pPr>
      <w:r w:rsidRPr="0076699B">
        <w:rPr>
          <w:color w:val="000000"/>
          <w:sz w:val="28"/>
          <w:szCs w:val="28"/>
        </w:rPr>
        <w:t>Періодичні відстеження планується здійснювати раз на три роки, починаючи з дня проведення повторного відстеження. Установлені показники результативності акта порівнюватимуться із значеннями аналогічних показників, що встановлені під час повторного відстеження.</w:t>
      </w:r>
    </w:p>
    <w:p w14:paraId="0FB2000B" w14:textId="77777777" w:rsidR="0076699B" w:rsidRPr="0076699B" w:rsidRDefault="0076699B" w:rsidP="0076699B">
      <w:pPr>
        <w:pStyle w:val="a7"/>
        <w:spacing w:before="0" w:beforeAutospacing="0" w:after="0" w:afterAutospacing="0"/>
        <w:ind w:right="-1" w:firstLine="709"/>
        <w:jc w:val="both"/>
        <w:rPr>
          <w:color w:val="000000"/>
          <w:sz w:val="28"/>
          <w:szCs w:val="28"/>
        </w:rPr>
      </w:pPr>
      <w:r w:rsidRPr="0076699B">
        <w:rPr>
          <w:color w:val="000000"/>
          <w:sz w:val="28"/>
          <w:szCs w:val="28"/>
        </w:rPr>
        <w:t>Джерело даних: статистичні дані, отримані від центрального засвідчувального органу (Міністерство цифрової трансформації України, державне підприємство «ДІЯ»), контролюючого органу (Адміністрація Державної служби спеціального зв’язку та захисту інформації України) та кваліфікованих надавачів електронних довірчих послуг.</w:t>
      </w:r>
    </w:p>
    <w:p w14:paraId="0CF84676" w14:textId="1DB5DF53" w:rsidR="00B23C91" w:rsidRPr="0076699B" w:rsidRDefault="0076699B" w:rsidP="0076699B">
      <w:pPr>
        <w:pStyle w:val="a7"/>
        <w:spacing w:before="0" w:beforeAutospacing="0" w:after="0" w:afterAutospacing="0"/>
        <w:ind w:right="-1" w:firstLine="709"/>
        <w:jc w:val="both"/>
        <w:rPr>
          <w:color w:val="000000"/>
          <w:sz w:val="28"/>
          <w:szCs w:val="28"/>
        </w:rPr>
      </w:pPr>
      <w:r w:rsidRPr="0076699B">
        <w:rPr>
          <w:color w:val="000000"/>
          <w:sz w:val="28"/>
          <w:szCs w:val="28"/>
        </w:rPr>
        <w:t>Виконавець заходів з відстеження результативності регуляторного акта – Міністерство цифрової трансформації України.</w:t>
      </w:r>
    </w:p>
    <w:sectPr w:rsidR="00B23C91" w:rsidRPr="0076699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D779" w14:textId="77777777" w:rsidR="003F0EBF" w:rsidRDefault="003F0EBF" w:rsidP="00B23C91">
      <w:r>
        <w:separator/>
      </w:r>
    </w:p>
  </w:endnote>
  <w:endnote w:type="continuationSeparator" w:id="0">
    <w:p w14:paraId="19F44AF7" w14:textId="77777777" w:rsidR="003F0EBF" w:rsidRDefault="003F0EBF" w:rsidP="00B2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90F9" w14:textId="77777777" w:rsidR="003F0EBF" w:rsidRDefault="003F0EBF" w:rsidP="00B23C91">
      <w:r>
        <w:separator/>
      </w:r>
    </w:p>
  </w:footnote>
  <w:footnote w:type="continuationSeparator" w:id="0">
    <w:p w14:paraId="0936B91E" w14:textId="77777777" w:rsidR="003F0EBF" w:rsidRDefault="003F0EBF" w:rsidP="00B2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75AF" w14:textId="7A68F3B2" w:rsidR="00B23C91" w:rsidRPr="00832B84" w:rsidRDefault="00B23C91" w:rsidP="00B23C91">
    <w:pPr>
      <w:tabs>
        <w:tab w:val="left" w:pos="2095"/>
      </w:tabs>
      <w:ind w:left="-567"/>
      <w:rPr>
        <w:rFonts w:ascii="Times New Roman" w:hAnsi="Times New Roman"/>
      </w:rPr>
    </w:pPr>
    <w:r>
      <w:rPr>
        <w:rFonts w:ascii="Times New Roman" w:hAnsi="Times New Roman"/>
      </w:rPr>
      <w:tab/>
    </w:r>
  </w:p>
  <w:p w14:paraId="14D529CA" w14:textId="77777777" w:rsidR="00B23C91" w:rsidRDefault="00B23C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0F3"/>
    <w:multiLevelType w:val="hybridMultilevel"/>
    <w:tmpl w:val="C28035B2"/>
    <w:lvl w:ilvl="0" w:tplc="522498A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3817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FE"/>
    <w:rsid w:val="00014C79"/>
    <w:rsid w:val="000C545D"/>
    <w:rsid w:val="0018504A"/>
    <w:rsid w:val="00195628"/>
    <w:rsid w:val="001A25FE"/>
    <w:rsid w:val="001D0842"/>
    <w:rsid w:val="0020086B"/>
    <w:rsid w:val="002A06B2"/>
    <w:rsid w:val="002C5954"/>
    <w:rsid w:val="00320F6A"/>
    <w:rsid w:val="003525E9"/>
    <w:rsid w:val="00371C65"/>
    <w:rsid w:val="003725BB"/>
    <w:rsid w:val="003D0DD9"/>
    <w:rsid w:val="003D1A54"/>
    <w:rsid w:val="003F0EBF"/>
    <w:rsid w:val="00414921"/>
    <w:rsid w:val="004549DC"/>
    <w:rsid w:val="00455E6F"/>
    <w:rsid w:val="00492569"/>
    <w:rsid w:val="00510429"/>
    <w:rsid w:val="005A5942"/>
    <w:rsid w:val="00615873"/>
    <w:rsid w:val="006728D4"/>
    <w:rsid w:val="00683612"/>
    <w:rsid w:val="006F630B"/>
    <w:rsid w:val="00752D5C"/>
    <w:rsid w:val="00760E7E"/>
    <w:rsid w:val="0076699B"/>
    <w:rsid w:val="007A2990"/>
    <w:rsid w:val="00830BD1"/>
    <w:rsid w:val="008403C6"/>
    <w:rsid w:val="00853D0E"/>
    <w:rsid w:val="00857C07"/>
    <w:rsid w:val="00867714"/>
    <w:rsid w:val="00890A9A"/>
    <w:rsid w:val="008D095A"/>
    <w:rsid w:val="008E3B4C"/>
    <w:rsid w:val="008E4458"/>
    <w:rsid w:val="00921EA6"/>
    <w:rsid w:val="0098424B"/>
    <w:rsid w:val="009D1FEB"/>
    <w:rsid w:val="00A65715"/>
    <w:rsid w:val="00A9559D"/>
    <w:rsid w:val="00AC1873"/>
    <w:rsid w:val="00AD499E"/>
    <w:rsid w:val="00B17B44"/>
    <w:rsid w:val="00B23C91"/>
    <w:rsid w:val="00BB4178"/>
    <w:rsid w:val="00C05484"/>
    <w:rsid w:val="00C352D7"/>
    <w:rsid w:val="00C57A54"/>
    <w:rsid w:val="00C62A61"/>
    <w:rsid w:val="00C764A5"/>
    <w:rsid w:val="00C768F8"/>
    <w:rsid w:val="00CA4A58"/>
    <w:rsid w:val="00CF5A96"/>
    <w:rsid w:val="00D42194"/>
    <w:rsid w:val="00D50826"/>
    <w:rsid w:val="00DC4631"/>
    <w:rsid w:val="00DD33D9"/>
    <w:rsid w:val="00DE295A"/>
    <w:rsid w:val="00E37D61"/>
    <w:rsid w:val="00EA7482"/>
    <w:rsid w:val="00EC7AF0"/>
    <w:rsid w:val="00F15DD3"/>
    <w:rsid w:val="00F35B9E"/>
    <w:rsid w:val="00F47170"/>
    <w:rsid w:val="00F85DD7"/>
    <w:rsid w:val="00FD460B"/>
    <w:rsid w:val="00FF16E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E049"/>
  <w15:chartTrackingRefBased/>
  <w15:docId w15:val="{9CA89C84-7508-9644-875D-18D3D8B1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99B"/>
    <w:pPr>
      <w:keepNext/>
      <w:spacing w:before="240" w:after="60"/>
      <w:outlineLvl w:val="0"/>
    </w:pPr>
    <w:rPr>
      <w:rFonts w:ascii="Calibri Light" w:eastAsia="Times New Roman" w:hAnsi="Calibri Light" w:cs="Times New Roman"/>
      <w:b/>
      <w:bCs/>
      <w:kern w:val="32"/>
      <w:sz w:val="32"/>
      <w:szCs w:val="32"/>
      <w:lang w:val="x-none" w:eastAsia="x-none"/>
    </w:rPr>
  </w:style>
  <w:style w:type="paragraph" w:styleId="2">
    <w:name w:val="heading 2"/>
    <w:basedOn w:val="a"/>
    <w:link w:val="20"/>
    <w:uiPriority w:val="9"/>
    <w:qFormat/>
    <w:rsid w:val="0076699B"/>
    <w:pPr>
      <w:spacing w:before="100" w:beforeAutospacing="1" w:after="100" w:afterAutospacing="1"/>
      <w:outlineLvl w:val="1"/>
    </w:pPr>
    <w:rPr>
      <w:rFonts w:ascii="Calibri Light" w:eastAsia="Times New Roman" w:hAnsi="Calibri Light" w:cs="Times New Roman"/>
      <w:color w:val="2E74B5"/>
      <w:sz w:val="26"/>
      <w:szCs w:val="26"/>
      <w:lang w:val="x-none" w:eastAsia="x-none"/>
    </w:rPr>
  </w:style>
  <w:style w:type="paragraph" w:styleId="3">
    <w:name w:val="heading 3"/>
    <w:basedOn w:val="a"/>
    <w:link w:val="30"/>
    <w:uiPriority w:val="9"/>
    <w:qFormat/>
    <w:rsid w:val="0076699B"/>
    <w:pPr>
      <w:spacing w:before="100" w:beforeAutospacing="1" w:after="100" w:afterAutospacing="1"/>
      <w:outlineLvl w:val="2"/>
    </w:pPr>
    <w:rPr>
      <w:rFonts w:ascii="Calibri Light" w:eastAsia="Times New Roman" w:hAnsi="Calibri Light" w:cs="Times New Roman"/>
      <w:color w:val="1F4D7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C91"/>
    <w:pPr>
      <w:tabs>
        <w:tab w:val="center" w:pos="4513"/>
        <w:tab w:val="right" w:pos="9026"/>
      </w:tabs>
    </w:pPr>
  </w:style>
  <w:style w:type="character" w:customStyle="1" w:styleId="a4">
    <w:name w:val="Верхній колонтитул Знак"/>
    <w:basedOn w:val="a0"/>
    <w:link w:val="a3"/>
    <w:uiPriority w:val="99"/>
    <w:rsid w:val="00B23C91"/>
  </w:style>
  <w:style w:type="paragraph" w:styleId="a5">
    <w:name w:val="footer"/>
    <w:basedOn w:val="a"/>
    <w:link w:val="a6"/>
    <w:uiPriority w:val="99"/>
    <w:unhideWhenUsed/>
    <w:rsid w:val="00B23C91"/>
    <w:pPr>
      <w:tabs>
        <w:tab w:val="center" w:pos="4513"/>
        <w:tab w:val="right" w:pos="9026"/>
      </w:tabs>
    </w:pPr>
  </w:style>
  <w:style w:type="character" w:customStyle="1" w:styleId="a6">
    <w:name w:val="Нижній колонтитул Знак"/>
    <w:basedOn w:val="a0"/>
    <w:link w:val="a5"/>
    <w:uiPriority w:val="99"/>
    <w:rsid w:val="00B23C91"/>
  </w:style>
  <w:style w:type="paragraph" w:styleId="a7">
    <w:name w:val="Normal (Web)"/>
    <w:basedOn w:val="a"/>
    <w:uiPriority w:val="99"/>
    <w:unhideWhenUsed/>
    <w:rsid w:val="00830BD1"/>
    <w:pPr>
      <w:spacing w:before="100" w:beforeAutospacing="1" w:after="100" w:afterAutospacing="1"/>
    </w:pPr>
    <w:rPr>
      <w:rFonts w:ascii="Times New Roman" w:eastAsia="Times New Roman" w:hAnsi="Times New Roman" w:cs="Times New Roman"/>
      <w:lang w:eastAsia="en-GB"/>
    </w:rPr>
  </w:style>
  <w:style w:type="character" w:customStyle="1" w:styleId="10">
    <w:name w:val="Заголовок 1 Знак"/>
    <w:basedOn w:val="a0"/>
    <w:link w:val="1"/>
    <w:uiPriority w:val="9"/>
    <w:rsid w:val="0076699B"/>
    <w:rPr>
      <w:rFonts w:ascii="Calibri Light" w:eastAsia="Times New Roman" w:hAnsi="Calibri Light" w:cs="Times New Roman"/>
      <w:b/>
      <w:bCs/>
      <w:kern w:val="32"/>
      <w:sz w:val="32"/>
      <w:szCs w:val="32"/>
      <w:lang w:val="x-none" w:eastAsia="x-none"/>
    </w:rPr>
  </w:style>
  <w:style w:type="character" w:customStyle="1" w:styleId="20">
    <w:name w:val="Заголовок 2 Знак"/>
    <w:basedOn w:val="a0"/>
    <w:link w:val="2"/>
    <w:uiPriority w:val="9"/>
    <w:rsid w:val="0076699B"/>
    <w:rPr>
      <w:rFonts w:ascii="Calibri Light" w:eastAsia="Times New Roman" w:hAnsi="Calibri Light" w:cs="Times New Roman"/>
      <w:color w:val="2E74B5"/>
      <w:sz w:val="26"/>
      <w:szCs w:val="26"/>
      <w:lang w:val="x-none" w:eastAsia="x-none"/>
    </w:rPr>
  </w:style>
  <w:style w:type="character" w:customStyle="1" w:styleId="30">
    <w:name w:val="Заголовок 3 Знак"/>
    <w:basedOn w:val="a0"/>
    <w:link w:val="3"/>
    <w:uiPriority w:val="9"/>
    <w:rsid w:val="0076699B"/>
    <w:rPr>
      <w:rFonts w:ascii="Calibri Light" w:eastAsia="Times New Roman" w:hAnsi="Calibri Light" w:cs="Times New Roman"/>
      <w:color w:val="1F4D78"/>
      <w:lang w:val="x-none" w:eastAsia="x-none"/>
    </w:rPr>
  </w:style>
  <w:style w:type="table" w:styleId="a8">
    <w:name w:val="Table Grid"/>
    <w:basedOn w:val="a1"/>
    <w:uiPriority w:val="39"/>
    <w:rsid w:val="0076699B"/>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66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1"/>
      <w:szCs w:val="21"/>
      <w:lang w:val="ru-RU" w:eastAsia="ru-RU"/>
    </w:rPr>
  </w:style>
  <w:style w:type="character" w:customStyle="1" w:styleId="HTML0">
    <w:name w:val="Стандартний HTML Знак"/>
    <w:basedOn w:val="a0"/>
    <w:link w:val="HTML"/>
    <w:rsid w:val="0076699B"/>
    <w:rPr>
      <w:rFonts w:ascii="Courier New" w:eastAsia="Times New Roman" w:hAnsi="Courier New" w:cs="Times New Roman"/>
      <w:sz w:val="21"/>
      <w:szCs w:val="21"/>
      <w:lang w:val="ru-RU" w:eastAsia="ru-RU"/>
    </w:rPr>
  </w:style>
  <w:style w:type="character" w:customStyle="1" w:styleId="rvts15">
    <w:name w:val="rvts15"/>
    <w:rsid w:val="0076699B"/>
  </w:style>
  <w:style w:type="paragraph" w:styleId="a9">
    <w:name w:val="Balloon Text"/>
    <w:basedOn w:val="a"/>
    <w:link w:val="aa"/>
    <w:uiPriority w:val="99"/>
    <w:semiHidden/>
    <w:unhideWhenUsed/>
    <w:rsid w:val="0076699B"/>
    <w:rPr>
      <w:rFonts w:ascii="Segoe UI" w:eastAsia="Times New Roman" w:hAnsi="Segoe UI" w:cs="Times New Roman"/>
      <w:sz w:val="18"/>
      <w:szCs w:val="18"/>
      <w:lang w:val="x-none" w:eastAsia="x-none"/>
    </w:rPr>
  </w:style>
  <w:style w:type="character" w:customStyle="1" w:styleId="aa">
    <w:name w:val="Текст у виносці Знак"/>
    <w:basedOn w:val="a0"/>
    <w:link w:val="a9"/>
    <w:uiPriority w:val="99"/>
    <w:semiHidden/>
    <w:rsid w:val="0076699B"/>
    <w:rPr>
      <w:rFonts w:ascii="Segoe UI" w:eastAsia="Times New Roman" w:hAnsi="Segoe UI" w:cs="Times New Roman"/>
      <w:sz w:val="18"/>
      <w:szCs w:val="18"/>
      <w:lang w:val="x-none" w:eastAsia="x-none"/>
    </w:rPr>
  </w:style>
  <w:style w:type="paragraph" w:styleId="ab">
    <w:name w:val="Body Text Indent"/>
    <w:basedOn w:val="a"/>
    <w:link w:val="ac"/>
    <w:uiPriority w:val="99"/>
    <w:rsid w:val="0076699B"/>
    <w:pPr>
      <w:widowControl w:val="0"/>
      <w:shd w:val="clear" w:color="auto" w:fill="FFFFFF"/>
      <w:autoSpaceDE w:val="0"/>
      <w:autoSpaceDN w:val="0"/>
      <w:adjustRightInd w:val="0"/>
      <w:ind w:right="14" w:firstLine="426"/>
      <w:jc w:val="center"/>
    </w:pPr>
    <w:rPr>
      <w:rFonts w:ascii="Times New Roman" w:eastAsia="Times New Roman" w:hAnsi="Times New Roman" w:cs="Times New Roman"/>
      <w:sz w:val="28"/>
      <w:szCs w:val="20"/>
      <w:lang w:val="x-none" w:eastAsia="ru-RU"/>
    </w:rPr>
  </w:style>
  <w:style w:type="character" w:customStyle="1" w:styleId="ac">
    <w:name w:val="Основний текст з відступом Знак"/>
    <w:basedOn w:val="a0"/>
    <w:link w:val="ab"/>
    <w:uiPriority w:val="99"/>
    <w:rsid w:val="0076699B"/>
    <w:rPr>
      <w:rFonts w:ascii="Times New Roman" w:eastAsia="Times New Roman" w:hAnsi="Times New Roman" w:cs="Times New Roman"/>
      <w:sz w:val="28"/>
      <w:szCs w:val="20"/>
      <w:shd w:val="clear" w:color="auto" w:fill="FFFFFF"/>
      <w:lang w:val="x-none" w:eastAsia="ru-RU"/>
    </w:rPr>
  </w:style>
  <w:style w:type="character" w:styleId="ad">
    <w:name w:val="Hyperlink"/>
    <w:uiPriority w:val="99"/>
    <w:unhideWhenUsed/>
    <w:rsid w:val="0076699B"/>
    <w:rPr>
      <w:color w:val="0563C1"/>
      <w:u w:val="single"/>
    </w:rPr>
  </w:style>
  <w:style w:type="character" w:styleId="ae">
    <w:name w:val="Unresolved Mention"/>
    <w:uiPriority w:val="99"/>
    <w:semiHidden/>
    <w:unhideWhenUsed/>
    <w:rsid w:val="00766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26832">
      <w:bodyDiv w:val="1"/>
      <w:marLeft w:val="0"/>
      <w:marRight w:val="0"/>
      <w:marTop w:val="0"/>
      <w:marBottom w:val="0"/>
      <w:divBdr>
        <w:top w:val="none" w:sz="0" w:space="0" w:color="auto"/>
        <w:left w:val="none" w:sz="0" w:space="0" w:color="auto"/>
        <w:bottom w:val="none" w:sz="0" w:space="0" w:color="auto"/>
        <w:right w:val="none" w:sz="0" w:space="0" w:color="auto"/>
      </w:divBdr>
      <w:divsChild>
        <w:div w:id="956909727">
          <w:marLeft w:val="0"/>
          <w:marRight w:val="0"/>
          <w:marTop w:val="0"/>
          <w:marBottom w:val="0"/>
          <w:divBdr>
            <w:top w:val="none" w:sz="0" w:space="0" w:color="auto"/>
            <w:left w:val="none" w:sz="0" w:space="0" w:color="auto"/>
            <w:bottom w:val="none" w:sz="0" w:space="0" w:color="auto"/>
            <w:right w:val="none" w:sz="0" w:space="0" w:color="auto"/>
          </w:divBdr>
          <w:divsChild>
            <w:div w:id="2030134974">
              <w:marLeft w:val="0"/>
              <w:marRight w:val="0"/>
              <w:marTop w:val="0"/>
              <w:marBottom w:val="0"/>
              <w:divBdr>
                <w:top w:val="none" w:sz="0" w:space="0" w:color="auto"/>
                <w:left w:val="none" w:sz="0" w:space="0" w:color="auto"/>
                <w:bottom w:val="none" w:sz="0" w:space="0" w:color="auto"/>
                <w:right w:val="none" w:sz="0" w:space="0" w:color="auto"/>
              </w:divBdr>
              <w:divsChild>
                <w:div w:id="9690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1917">
      <w:bodyDiv w:val="1"/>
      <w:marLeft w:val="0"/>
      <w:marRight w:val="0"/>
      <w:marTop w:val="0"/>
      <w:marBottom w:val="0"/>
      <w:divBdr>
        <w:top w:val="none" w:sz="0" w:space="0" w:color="auto"/>
        <w:left w:val="none" w:sz="0" w:space="0" w:color="auto"/>
        <w:bottom w:val="none" w:sz="0" w:space="0" w:color="auto"/>
        <w:right w:val="none" w:sz="0" w:space="0" w:color="auto"/>
      </w:divBdr>
    </w:div>
    <w:div w:id="1285232161">
      <w:bodyDiv w:val="1"/>
      <w:marLeft w:val="0"/>
      <w:marRight w:val="0"/>
      <w:marTop w:val="0"/>
      <w:marBottom w:val="0"/>
      <w:divBdr>
        <w:top w:val="none" w:sz="0" w:space="0" w:color="auto"/>
        <w:left w:val="none" w:sz="0" w:space="0" w:color="auto"/>
        <w:bottom w:val="none" w:sz="0" w:space="0" w:color="auto"/>
        <w:right w:val="none" w:sz="0" w:space="0" w:color="auto"/>
      </w:divBdr>
      <w:divsChild>
        <w:div w:id="1752435124">
          <w:marLeft w:val="0"/>
          <w:marRight w:val="0"/>
          <w:marTop w:val="0"/>
          <w:marBottom w:val="0"/>
          <w:divBdr>
            <w:top w:val="none" w:sz="0" w:space="0" w:color="auto"/>
            <w:left w:val="none" w:sz="0" w:space="0" w:color="auto"/>
            <w:bottom w:val="none" w:sz="0" w:space="0" w:color="auto"/>
            <w:right w:val="none" w:sz="0" w:space="0" w:color="auto"/>
          </w:divBdr>
          <w:divsChild>
            <w:div w:id="1559391015">
              <w:marLeft w:val="0"/>
              <w:marRight w:val="0"/>
              <w:marTop w:val="0"/>
              <w:marBottom w:val="0"/>
              <w:divBdr>
                <w:top w:val="none" w:sz="0" w:space="0" w:color="auto"/>
                <w:left w:val="none" w:sz="0" w:space="0" w:color="auto"/>
                <w:bottom w:val="none" w:sz="0" w:space="0" w:color="auto"/>
                <w:right w:val="none" w:sz="0" w:space="0" w:color="auto"/>
              </w:divBdr>
              <w:divsChild>
                <w:div w:id="16144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3007">
      <w:bodyDiv w:val="1"/>
      <w:marLeft w:val="0"/>
      <w:marRight w:val="0"/>
      <w:marTop w:val="0"/>
      <w:marBottom w:val="0"/>
      <w:divBdr>
        <w:top w:val="none" w:sz="0" w:space="0" w:color="auto"/>
        <w:left w:val="none" w:sz="0" w:space="0" w:color="auto"/>
        <w:bottom w:val="none" w:sz="0" w:space="0" w:color="auto"/>
        <w:right w:val="none" w:sz="0" w:space="0" w:color="auto"/>
      </w:divBdr>
      <w:divsChild>
        <w:div w:id="1759012049">
          <w:marLeft w:val="0"/>
          <w:marRight w:val="0"/>
          <w:marTop w:val="0"/>
          <w:marBottom w:val="0"/>
          <w:divBdr>
            <w:top w:val="none" w:sz="0" w:space="0" w:color="auto"/>
            <w:left w:val="none" w:sz="0" w:space="0" w:color="auto"/>
            <w:bottom w:val="none" w:sz="0" w:space="0" w:color="auto"/>
            <w:right w:val="none" w:sz="0" w:space="0" w:color="auto"/>
          </w:divBdr>
          <w:divsChild>
            <w:div w:id="1789662853">
              <w:marLeft w:val="0"/>
              <w:marRight w:val="0"/>
              <w:marTop w:val="0"/>
              <w:marBottom w:val="0"/>
              <w:divBdr>
                <w:top w:val="none" w:sz="0" w:space="0" w:color="auto"/>
                <w:left w:val="none" w:sz="0" w:space="0" w:color="auto"/>
                <w:bottom w:val="none" w:sz="0" w:space="0" w:color="auto"/>
                <w:right w:val="none" w:sz="0" w:space="0" w:color="auto"/>
              </w:divBdr>
              <w:divsChild>
                <w:div w:id="11626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268">
      <w:bodyDiv w:val="1"/>
      <w:marLeft w:val="0"/>
      <w:marRight w:val="0"/>
      <w:marTop w:val="0"/>
      <w:marBottom w:val="0"/>
      <w:divBdr>
        <w:top w:val="none" w:sz="0" w:space="0" w:color="auto"/>
        <w:left w:val="none" w:sz="0" w:space="0" w:color="auto"/>
        <w:bottom w:val="none" w:sz="0" w:space="0" w:color="auto"/>
        <w:right w:val="none" w:sz="0" w:space="0" w:color="auto"/>
      </w:divBdr>
      <w:divsChild>
        <w:div w:id="1394350064">
          <w:marLeft w:val="0"/>
          <w:marRight w:val="0"/>
          <w:marTop w:val="0"/>
          <w:marBottom w:val="150"/>
          <w:divBdr>
            <w:top w:val="none" w:sz="0" w:space="0" w:color="auto"/>
            <w:left w:val="none" w:sz="0" w:space="0" w:color="auto"/>
            <w:bottom w:val="none" w:sz="0" w:space="0" w:color="auto"/>
            <w:right w:val="none" w:sz="0" w:space="0" w:color="auto"/>
          </w:divBdr>
        </w:div>
      </w:divsChild>
    </w:div>
    <w:div w:id="1600942186">
      <w:bodyDiv w:val="1"/>
      <w:marLeft w:val="0"/>
      <w:marRight w:val="0"/>
      <w:marTop w:val="0"/>
      <w:marBottom w:val="0"/>
      <w:divBdr>
        <w:top w:val="none" w:sz="0" w:space="0" w:color="auto"/>
        <w:left w:val="none" w:sz="0" w:space="0" w:color="auto"/>
        <w:bottom w:val="none" w:sz="0" w:space="0" w:color="auto"/>
        <w:right w:val="none" w:sz="0" w:space="0" w:color="auto"/>
      </w:divBdr>
    </w:div>
    <w:div w:id="1795563086">
      <w:bodyDiv w:val="1"/>
      <w:marLeft w:val="0"/>
      <w:marRight w:val="0"/>
      <w:marTop w:val="0"/>
      <w:marBottom w:val="0"/>
      <w:divBdr>
        <w:top w:val="none" w:sz="0" w:space="0" w:color="auto"/>
        <w:left w:val="none" w:sz="0" w:space="0" w:color="auto"/>
        <w:bottom w:val="none" w:sz="0" w:space="0" w:color="auto"/>
        <w:right w:val="none" w:sz="0" w:space="0" w:color="auto"/>
      </w:divBdr>
      <w:divsChild>
        <w:div w:id="1340083844">
          <w:marLeft w:val="0"/>
          <w:marRight w:val="0"/>
          <w:marTop w:val="0"/>
          <w:marBottom w:val="0"/>
          <w:divBdr>
            <w:top w:val="none" w:sz="0" w:space="0" w:color="auto"/>
            <w:left w:val="none" w:sz="0" w:space="0" w:color="auto"/>
            <w:bottom w:val="none" w:sz="0" w:space="0" w:color="auto"/>
            <w:right w:val="none" w:sz="0" w:space="0" w:color="auto"/>
          </w:divBdr>
          <w:divsChild>
            <w:div w:id="596403739">
              <w:marLeft w:val="0"/>
              <w:marRight w:val="0"/>
              <w:marTop w:val="0"/>
              <w:marBottom w:val="0"/>
              <w:divBdr>
                <w:top w:val="none" w:sz="0" w:space="0" w:color="auto"/>
                <w:left w:val="none" w:sz="0" w:space="0" w:color="auto"/>
                <w:bottom w:val="none" w:sz="0" w:space="0" w:color="auto"/>
                <w:right w:val="none" w:sz="0" w:space="0" w:color="auto"/>
              </w:divBdr>
              <w:divsChild>
                <w:div w:id="10958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821">
      <w:bodyDiv w:val="1"/>
      <w:marLeft w:val="0"/>
      <w:marRight w:val="0"/>
      <w:marTop w:val="0"/>
      <w:marBottom w:val="0"/>
      <w:divBdr>
        <w:top w:val="none" w:sz="0" w:space="0" w:color="auto"/>
        <w:left w:val="none" w:sz="0" w:space="0" w:color="auto"/>
        <w:bottom w:val="none" w:sz="0" w:space="0" w:color="auto"/>
        <w:right w:val="none" w:sz="0" w:space="0" w:color="auto"/>
      </w:divBdr>
      <w:divsChild>
        <w:div w:id="1186552417">
          <w:marLeft w:val="0"/>
          <w:marRight w:val="0"/>
          <w:marTop w:val="0"/>
          <w:marBottom w:val="0"/>
          <w:divBdr>
            <w:top w:val="none" w:sz="0" w:space="0" w:color="auto"/>
            <w:left w:val="none" w:sz="0" w:space="0" w:color="auto"/>
            <w:bottom w:val="none" w:sz="0" w:space="0" w:color="auto"/>
            <w:right w:val="none" w:sz="0" w:space="0" w:color="auto"/>
          </w:divBdr>
          <w:divsChild>
            <w:div w:id="578637277">
              <w:marLeft w:val="0"/>
              <w:marRight w:val="0"/>
              <w:marTop w:val="0"/>
              <w:marBottom w:val="0"/>
              <w:divBdr>
                <w:top w:val="none" w:sz="0" w:space="0" w:color="auto"/>
                <w:left w:val="none" w:sz="0" w:space="0" w:color="auto"/>
                <w:bottom w:val="none" w:sz="0" w:space="0" w:color="auto"/>
                <w:right w:val="none" w:sz="0" w:space="0" w:color="auto"/>
              </w:divBdr>
              <w:divsChild>
                <w:div w:id="1063288111">
                  <w:marLeft w:val="0"/>
                  <w:marRight w:val="0"/>
                  <w:marTop w:val="0"/>
                  <w:marBottom w:val="0"/>
                  <w:divBdr>
                    <w:top w:val="none" w:sz="0" w:space="0" w:color="auto"/>
                    <w:left w:val="none" w:sz="0" w:space="0" w:color="auto"/>
                    <w:bottom w:val="none" w:sz="0" w:space="0" w:color="auto"/>
                    <w:right w:val="none" w:sz="0" w:space="0" w:color="auto"/>
                  </w:divBdr>
                  <w:divsChild>
                    <w:div w:id="7485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00528">
      <w:bodyDiv w:val="1"/>
      <w:marLeft w:val="0"/>
      <w:marRight w:val="0"/>
      <w:marTop w:val="0"/>
      <w:marBottom w:val="0"/>
      <w:divBdr>
        <w:top w:val="none" w:sz="0" w:space="0" w:color="auto"/>
        <w:left w:val="none" w:sz="0" w:space="0" w:color="auto"/>
        <w:bottom w:val="none" w:sz="0" w:space="0" w:color="auto"/>
        <w:right w:val="none" w:sz="0" w:space="0" w:color="auto"/>
      </w:divBdr>
    </w:div>
    <w:div w:id="21421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o.gov.ua/ca-registry" TargetMode="External"/><Relationship Id="rId3" Type="http://schemas.openxmlformats.org/officeDocument/2006/relationships/settings" Target="settings.xml"/><Relationship Id="rId7" Type="http://schemas.openxmlformats.org/officeDocument/2006/relationships/hyperlink" Target="https://www.czo.gov.ua/trusted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12754</Words>
  <Characters>7271</Characters>
  <Application>Microsoft Office Word</Application>
  <DocSecurity>0</DocSecurity>
  <Lines>60</Lines>
  <Paragraphs>39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Kozlov</dc:creator>
  <cp:keywords/>
  <dc:description/>
  <cp:lastModifiedBy>User</cp:lastModifiedBy>
  <cp:revision>2</cp:revision>
  <dcterms:created xsi:type="dcterms:W3CDTF">2022-12-08T09:41:00Z</dcterms:created>
  <dcterms:modified xsi:type="dcterms:W3CDTF">2022-12-08T09:41:00Z</dcterms:modified>
</cp:coreProperties>
</file>