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13EDA" w14:textId="77777777" w:rsidR="00EF295C" w:rsidRDefault="00FB6F5D">
      <w:pPr>
        <w:jc w:val="center"/>
        <w:rPr>
          <w:b/>
        </w:rPr>
      </w:pPr>
      <w:r>
        <w:rPr>
          <w:b/>
        </w:rPr>
        <w:t>ПОРІВНЯЛЬНА ТАБЛИЦЯ</w:t>
      </w:r>
      <w:r>
        <w:rPr>
          <w:b/>
        </w:rPr>
        <w:br/>
      </w:r>
      <w:r>
        <w:rPr>
          <w:b/>
        </w:rPr>
        <w:t>до проекту постанови Кабінету Міністрів України “Деякі питання щодо впровадження електронних експлуатаційних документів, що містять гарантійні зобов’язання виробника”</w:t>
      </w:r>
    </w:p>
    <w:p w14:paraId="4F24FE85" w14:textId="77777777" w:rsidR="00EF295C" w:rsidRDefault="00EF295C">
      <w:pPr>
        <w:jc w:val="center"/>
        <w:rPr>
          <w:sz w:val="18"/>
          <w:szCs w:val="18"/>
        </w:rPr>
      </w:pPr>
    </w:p>
    <w:tbl>
      <w:tblPr>
        <w:tblStyle w:val="a3"/>
        <w:tblW w:w="143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55"/>
        <w:gridCol w:w="7155"/>
      </w:tblGrid>
      <w:tr w:rsidR="00EF295C" w14:paraId="302828EA" w14:textId="77777777">
        <w:trPr>
          <w:trHeight w:val="621"/>
        </w:trPr>
        <w:tc>
          <w:tcPr>
            <w:tcW w:w="7155" w:type="dxa"/>
          </w:tcPr>
          <w:p w14:paraId="59451F8A" w14:textId="77777777" w:rsidR="00EF295C" w:rsidRDefault="00FB6F5D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 xml:space="preserve">Зміст положення </w:t>
            </w:r>
            <w:proofErr w:type="spellStart"/>
            <w:r>
              <w:rPr>
                <w:b/>
              </w:rPr>
              <w:t>акта</w:t>
            </w:r>
            <w:proofErr w:type="spellEnd"/>
            <w:r>
              <w:rPr>
                <w:b/>
              </w:rPr>
              <w:t xml:space="preserve"> законодавства</w:t>
            </w:r>
          </w:p>
        </w:tc>
        <w:tc>
          <w:tcPr>
            <w:tcW w:w="7155" w:type="dxa"/>
          </w:tcPr>
          <w:p w14:paraId="4BD7C833" w14:textId="77777777" w:rsidR="00EF295C" w:rsidRDefault="00FB6F5D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 xml:space="preserve">Зміст відповідного положення проекту </w:t>
            </w:r>
            <w:proofErr w:type="spellStart"/>
            <w:r>
              <w:rPr>
                <w:b/>
              </w:rPr>
              <w:t>акта</w:t>
            </w:r>
            <w:proofErr w:type="spellEnd"/>
          </w:p>
        </w:tc>
      </w:tr>
      <w:tr w:rsidR="00EF295C" w14:paraId="652A22F6" w14:textId="77777777">
        <w:trPr>
          <w:trHeight w:val="913"/>
        </w:trPr>
        <w:tc>
          <w:tcPr>
            <w:tcW w:w="14310" w:type="dxa"/>
            <w:gridSpan w:val="2"/>
          </w:tcPr>
          <w:p w14:paraId="0FB6716D" w14:textId="77777777" w:rsidR="00EF295C" w:rsidRDefault="00FB6F5D" w:rsidP="00FB2C0A">
            <w:pPr>
              <w:jc w:val="center"/>
              <w:rPr>
                <w:b/>
                <w:i/>
              </w:rPr>
            </w:pPr>
            <w:r>
              <w:rPr>
                <w:b/>
              </w:rPr>
              <w:t>Порядок га</w:t>
            </w:r>
            <w:r>
              <w:rPr>
                <w:b/>
              </w:rPr>
              <w:t>рантійного ремонту (обслуговування) або гарантійної заміни технічно складних побутових товарів, затверджений постановою Кабінету Міністрів України від 11 квітня 2002 р. N 506</w:t>
            </w:r>
          </w:p>
        </w:tc>
      </w:tr>
      <w:tr w:rsidR="00EF295C" w14:paraId="5DB18BAA" w14:textId="77777777">
        <w:trPr>
          <w:trHeight w:val="4701"/>
        </w:trPr>
        <w:tc>
          <w:tcPr>
            <w:tcW w:w="7155" w:type="dxa"/>
          </w:tcPr>
          <w:p w14:paraId="1C8C1255" w14:textId="77777777" w:rsidR="00EF295C" w:rsidRDefault="00FB6F5D">
            <w:pPr>
              <w:spacing w:before="120"/>
              <w:rPr>
                <w:b/>
                <w:i/>
              </w:rPr>
            </w:pPr>
            <w:r>
              <w:rPr>
                <w:b/>
                <w:i/>
              </w:rPr>
              <w:t>Відсутній.</w:t>
            </w:r>
          </w:p>
        </w:tc>
        <w:tc>
          <w:tcPr>
            <w:tcW w:w="7155" w:type="dxa"/>
          </w:tcPr>
          <w:p w14:paraId="44A80DFC" w14:textId="77777777" w:rsidR="00EF295C" w:rsidRDefault="00FB6F5D" w:rsidP="00FB2C0A">
            <w:pPr>
              <w:ind w:firstLine="709"/>
              <w:rPr>
                <w:b/>
              </w:rPr>
            </w:pPr>
            <w:r>
              <w:rPr>
                <w:b/>
              </w:rPr>
              <w:t>Особливості продажу товарів з електронними експлуатаційними документами, що містять гарантійні зобов’язання виробника</w:t>
            </w:r>
          </w:p>
          <w:p w14:paraId="7E2D64D8" w14:textId="77777777" w:rsidR="00EF295C" w:rsidRDefault="00FB6F5D" w:rsidP="00FB2C0A">
            <w:pPr>
              <w:ind w:firstLine="720"/>
              <w:rPr>
                <w:b/>
              </w:rPr>
            </w:pPr>
            <w:r>
              <w:rPr>
                <w:b/>
              </w:rPr>
              <w:t>43.  Суб’єкт господарювання може надавати споживачеві доступ до експлуатаційних документів на технічно складні побутові товари в електронн</w:t>
            </w:r>
            <w:r>
              <w:rPr>
                <w:b/>
              </w:rPr>
              <w:t>ій формі у системі електронного документообігу гарантійних документів, доступ до якої забезпечується через офіційний веб-сайт виробника.</w:t>
            </w:r>
          </w:p>
          <w:p w14:paraId="2E82ACAE" w14:textId="77777777" w:rsidR="00EF295C" w:rsidRDefault="00FB6F5D" w:rsidP="00FB2C0A">
            <w:pPr>
              <w:ind w:firstLine="720"/>
              <w:rPr>
                <w:b/>
              </w:rPr>
            </w:pPr>
            <w:r>
              <w:rPr>
                <w:b/>
              </w:rPr>
              <w:t>У разі надання експлуатаційних документів в електронній формі, на упаковці виробника або у маркуванні товару зазначаєть</w:t>
            </w:r>
            <w:r>
              <w:rPr>
                <w:b/>
              </w:rPr>
              <w:t xml:space="preserve">ся у доступній наочній формі QR-код або гіперпосилання в мережі Інтернет на </w:t>
            </w:r>
            <w:r>
              <w:rPr>
                <w:b/>
              </w:rPr>
              <w:lastRenderedPageBreak/>
              <w:t>систему електронного документообігу гарантійних документів, де споживач може:</w:t>
            </w:r>
          </w:p>
          <w:p w14:paraId="66274C93" w14:textId="77777777" w:rsidR="00EF295C" w:rsidRDefault="00FB6F5D" w:rsidP="00FB2C0A">
            <w:pPr>
              <w:ind w:firstLine="720"/>
              <w:rPr>
                <w:b/>
              </w:rPr>
            </w:pPr>
            <w:r>
              <w:rPr>
                <w:b/>
              </w:rPr>
              <w:t xml:space="preserve">ознайомитися та вивантажити експлуатаційні документи на товар; </w:t>
            </w:r>
          </w:p>
          <w:p w14:paraId="0CB19A8B" w14:textId="77777777" w:rsidR="00EF295C" w:rsidRDefault="00FB6F5D" w:rsidP="00FB2C0A">
            <w:pPr>
              <w:ind w:firstLine="720"/>
              <w:rPr>
                <w:b/>
              </w:rPr>
            </w:pPr>
            <w:r>
              <w:rPr>
                <w:b/>
              </w:rPr>
              <w:t xml:space="preserve">шляхом введення нанесеного заводським </w:t>
            </w:r>
            <w:r>
              <w:rPr>
                <w:b/>
              </w:rPr>
              <w:t>способом серійного номера ознайомитися з гарантійними зобов’язаннями виробника щодо відповідного товару;</w:t>
            </w:r>
          </w:p>
          <w:p w14:paraId="148272A2" w14:textId="77777777" w:rsidR="00EF295C" w:rsidRDefault="00FB6F5D" w:rsidP="00FB2C0A">
            <w:pPr>
              <w:ind w:firstLine="720"/>
              <w:rPr>
                <w:b/>
              </w:rPr>
            </w:pPr>
            <w:r>
              <w:rPr>
                <w:b/>
              </w:rPr>
              <w:t xml:space="preserve">ознайомитися з найменуванням та </w:t>
            </w:r>
            <w:proofErr w:type="spellStart"/>
            <w:r>
              <w:rPr>
                <w:b/>
              </w:rPr>
              <w:t>адресою</w:t>
            </w:r>
            <w:proofErr w:type="spellEnd"/>
            <w:r>
              <w:rPr>
                <w:b/>
              </w:rPr>
              <w:t xml:space="preserve"> сервісного центру / виконавця, який здійснює прийняття претензій і виконання вимог споживача, а також забезпечу</w:t>
            </w:r>
            <w:r>
              <w:rPr>
                <w:b/>
              </w:rPr>
              <w:t xml:space="preserve">є гарантійне обслуговування або інформацією щодо джерела, де споживач може отримати таку інформацію. </w:t>
            </w:r>
          </w:p>
          <w:p w14:paraId="6B7463CD" w14:textId="77777777" w:rsidR="00EF295C" w:rsidRDefault="00FB6F5D" w:rsidP="00FB2C0A">
            <w:pPr>
              <w:ind w:firstLine="720"/>
              <w:rPr>
                <w:b/>
              </w:rPr>
            </w:pPr>
            <w:r>
              <w:rPr>
                <w:b/>
              </w:rPr>
              <w:t>44. Доступ до електронних експлуатаційних документів виробник забезпечує протягом строку служби товару.</w:t>
            </w:r>
          </w:p>
          <w:p w14:paraId="6B259D17" w14:textId="77777777" w:rsidR="00EF295C" w:rsidRDefault="00FB6F5D" w:rsidP="00FB2C0A">
            <w:pPr>
              <w:ind w:firstLine="720"/>
              <w:rPr>
                <w:b/>
              </w:rPr>
            </w:pPr>
            <w:r>
              <w:rPr>
                <w:b/>
              </w:rPr>
              <w:t>45. У разі надання гарантійних зобов’язань в елект</w:t>
            </w:r>
            <w:r>
              <w:rPr>
                <w:b/>
              </w:rPr>
              <w:t>ронній формі виробник забезпечує можливість реєстрації продавцем придбаного товару в системі електронного документообігу гарантійних документів в установленому виробником порядку.</w:t>
            </w:r>
          </w:p>
          <w:p w14:paraId="1D0871AB" w14:textId="77777777" w:rsidR="00EF295C" w:rsidRDefault="00FB6F5D" w:rsidP="00FB2C0A">
            <w:pPr>
              <w:ind w:firstLine="720"/>
              <w:rPr>
                <w:b/>
              </w:rPr>
            </w:pPr>
            <w:r>
              <w:rPr>
                <w:b/>
              </w:rPr>
              <w:t>Продавець протягом 5 робочих днів з моменту придбання реєструє придбаний тов</w:t>
            </w:r>
            <w:r>
              <w:rPr>
                <w:b/>
              </w:rPr>
              <w:t>ар шляхом внесення інформації про товар та дату придбання в систему електронного документообігу гарантійних документів або передання відповідної інформації виробнику.</w:t>
            </w:r>
          </w:p>
          <w:p w14:paraId="67FD7FC4" w14:textId="77777777" w:rsidR="00EF295C" w:rsidRDefault="00FB6F5D" w:rsidP="00FB2C0A">
            <w:pPr>
              <w:ind w:firstLine="720"/>
              <w:rPr>
                <w:b/>
              </w:rPr>
            </w:pPr>
            <w:r>
              <w:rPr>
                <w:b/>
              </w:rPr>
              <w:t>На прохання споживача продавець здійснює реєстрацію товарів у системі електронного докуме</w:t>
            </w:r>
            <w:r>
              <w:rPr>
                <w:b/>
              </w:rPr>
              <w:t xml:space="preserve">нтообігу гарантійних документів і оформлення </w:t>
            </w:r>
            <w:r>
              <w:rPr>
                <w:b/>
              </w:rPr>
              <w:lastRenderedPageBreak/>
              <w:t>гарантійних зобов’язань в електронній формі під час продажу такого товару.</w:t>
            </w:r>
          </w:p>
          <w:p w14:paraId="031B6975" w14:textId="77777777" w:rsidR="00EF295C" w:rsidRDefault="00FB6F5D" w:rsidP="00FB2C0A">
            <w:pPr>
              <w:ind w:firstLine="720"/>
              <w:rPr>
                <w:b/>
              </w:rPr>
            </w:pPr>
            <w:r>
              <w:rPr>
                <w:b/>
              </w:rPr>
              <w:t>46. На вимогу споживача, продавець під час продажу товару надає експлуатаційні документи на технічно складні побутові товари (паспорт аб</w:t>
            </w:r>
            <w:r>
              <w:rPr>
                <w:b/>
              </w:rPr>
              <w:t>о будь-який інший документ, що додається до товару) в паперовій формі шляхом  вивантаження паперової</w:t>
            </w:r>
            <w:r>
              <w:rPr>
                <w:b/>
                <w:color w:val="FF0000"/>
              </w:rPr>
              <w:t xml:space="preserve"> </w:t>
            </w:r>
            <w:r>
              <w:rPr>
                <w:b/>
              </w:rPr>
              <w:t>копії експлуатаційних документів з системи електронного документообігу гарантійних документів.</w:t>
            </w:r>
          </w:p>
          <w:p w14:paraId="4DA96C85" w14:textId="77777777" w:rsidR="00EF295C" w:rsidRDefault="00FB6F5D" w:rsidP="00FB2C0A">
            <w:pPr>
              <w:ind w:firstLine="720"/>
              <w:rPr>
                <w:b/>
              </w:rPr>
            </w:pPr>
            <w:r>
              <w:rPr>
                <w:b/>
              </w:rPr>
              <w:t>47. Система електронного документообігу гарантійних документ</w:t>
            </w:r>
            <w:r>
              <w:rPr>
                <w:b/>
              </w:rPr>
              <w:t>ів – інформаційна, телекомунікаційна або інформаційно-телекомунікаційна система виробника технічно складних побутових товарів, в якій розміщуються експлуатаційні документи, що містять гарантійні зобов’язання виробника, в електронній формі, доступ до якої з</w:t>
            </w:r>
            <w:r>
              <w:rPr>
                <w:b/>
              </w:rPr>
              <w:t xml:space="preserve">абезпечується через офіційний веб-сайт виробника. </w:t>
            </w:r>
          </w:p>
          <w:p w14:paraId="77B4FAF0" w14:textId="77777777" w:rsidR="00EF295C" w:rsidRDefault="00FB6F5D" w:rsidP="00FB2C0A">
            <w:pPr>
              <w:ind w:firstLine="720"/>
              <w:rPr>
                <w:b/>
              </w:rPr>
            </w:pPr>
            <w:r>
              <w:rPr>
                <w:b/>
              </w:rPr>
              <w:t xml:space="preserve">У системі електронного документообігу гарантійних документів виробник забезпечує на безоплатній основі цілодобово сім днів на тиждень: </w:t>
            </w:r>
          </w:p>
          <w:p w14:paraId="750BCB1C" w14:textId="77777777" w:rsidR="00EF295C" w:rsidRDefault="00FB6F5D" w:rsidP="00FB2C0A">
            <w:pPr>
              <w:ind w:firstLine="720"/>
              <w:rPr>
                <w:b/>
              </w:rPr>
            </w:pPr>
            <w:r>
              <w:rPr>
                <w:b/>
              </w:rPr>
              <w:t>розміщення експлуатаційних документів, що містять, зокрема, гарантійн</w:t>
            </w:r>
            <w:r>
              <w:rPr>
                <w:b/>
              </w:rPr>
              <w:t>і зобов’язання виробника;</w:t>
            </w:r>
          </w:p>
          <w:p w14:paraId="607BF02C" w14:textId="77777777" w:rsidR="00EF295C" w:rsidRDefault="00FB6F5D" w:rsidP="00FB2C0A">
            <w:pPr>
              <w:ind w:firstLine="720"/>
              <w:rPr>
                <w:b/>
              </w:rPr>
            </w:pPr>
            <w:r>
              <w:rPr>
                <w:b/>
              </w:rPr>
              <w:t>доступ споживачів через мережу Інтернет до експлуатаційних документів;</w:t>
            </w:r>
          </w:p>
          <w:p w14:paraId="0DB9C3B2" w14:textId="77777777" w:rsidR="00EF295C" w:rsidRDefault="00FB6F5D" w:rsidP="00FB2C0A">
            <w:pPr>
              <w:ind w:firstLine="720"/>
              <w:rPr>
                <w:b/>
              </w:rPr>
            </w:pPr>
            <w:r>
              <w:rPr>
                <w:b/>
              </w:rPr>
              <w:t>можливість споживача перевірити чинність гарантійних зобов’язань виробника щодо товару шляхом введення нанесеного заводським способом серійного номера;</w:t>
            </w:r>
          </w:p>
          <w:p w14:paraId="2A9532DF" w14:textId="77777777" w:rsidR="00EF295C" w:rsidRDefault="00FB6F5D" w:rsidP="00FB2C0A">
            <w:pPr>
              <w:ind w:firstLine="720"/>
              <w:rPr>
                <w:b/>
              </w:rPr>
            </w:pPr>
            <w:r>
              <w:rPr>
                <w:b/>
              </w:rPr>
              <w:t>можливі</w:t>
            </w:r>
            <w:r>
              <w:rPr>
                <w:b/>
              </w:rPr>
              <w:t xml:space="preserve">сть споживача друкувати копію експлуатаційних документів; </w:t>
            </w:r>
          </w:p>
          <w:p w14:paraId="38CD591F" w14:textId="77777777" w:rsidR="00EF295C" w:rsidRDefault="00FB6F5D" w:rsidP="00FB2C0A">
            <w:pPr>
              <w:ind w:firstLine="720"/>
              <w:rPr>
                <w:b/>
              </w:rPr>
            </w:pPr>
            <w:r>
              <w:rPr>
                <w:b/>
              </w:rPr>
              <w:lastRenderedPageBreak/>
              <w:t>розміщення архіву експлуатаційних документів, що містять, зокрема, гарантійні зобов’язання виробника, з зазначенням дати та часу їх опублікування;</w:t>
            </w:r>
          </w:p>
          <w:p w14:paraId="38E0D85F" w14:textId="77777777" w:rsidR="00EF295C" w:rsidRDefault="00FB6F5D" w:rsidP="00FB2C0A">
            <w:pPr>
              <w:ind w:firstLine="720"/>
              <w:rPr>
                <w:b/>
              </w:rPr>
            </w:pPr>
            <w:r>
              <w:rPr>
                <w:b/>
              </w:rPr>
              <w:t>48. У системі електронного документообігу гарантій</w:t>
            </w:r>
            <w:r>
              <w:rPr>
                <w:b/>
              </w:rPr>
              <w:t>них документів виробник забезпечує належне функціонування та захист системи електронного документообігу гарантійних документів, зокрема захист цілісності її баз даних, апаратного та програмного забезпечення, достовірність даних на них, захист від несанкціо</w:t>
            </w:r>
            <w:r>
              <w:rPr>
                <w:b/>
              </w:rPr>
              <w:t>нованого доступу, незаконного використання, незаконного копіювання, спотворення, знищення даних.</w:t>
            </w:r>
          </w:p>
          <w:p w14:paraId="24D993BF" w14:textId="77777777" w:rsidR="00EF295C" w:rsidRDefault="00FB6F5D" w:rsidP="00FB2C0A">
            <w:pPr>
              <w:ind w:firstLine="720"/>
              <w:rPr>
                <w:b/>
              </w:rPr>
            </w:pPr>
            <w:r>
              <w:rPr>
                <w:b/>
              </w:rPr>
              <w:t>49. У системі електронного документообігу гарантійних документів виробник забезпечує обробку персональних даних відповідно до законодавства про захист персонал</w:t>
            </w:r>
            <w:r>
              <w:rPr>
                <w:b/>
              </w:rPr>
              <w:t>ьних даних.</w:t>
            </w:r>
          </w:p>
          <w:p w14:paraId="4A05DB0E" w14:textId="77777777" w:rsidR="00EF295C" w:rsidRDefault="00FB6F5D" w:rsidP="00FB2C0A">
            <w:pPr>
              <w:ind w:firstLine="709"/>
              <w:rPr>
                <w:b/>
              </w:rPr>
            </w:pPr>
            <w:r>
              <w:rPr>
                <w:b/>
              </w:rPr>
              <w:t>50. У разі надання експлуатаційних документів в електронній формі вимоги пунктів 8, 10, 15, абзацу другого пункту 21, пункту 24, абзаців першого та другого пункту 37 цього Порядку застосовуються з особливостями, які встановлені цим Розділом.</w:t>
            </w:r>
          </w:p>
        </w:tc>
      </w:tr>
    </w:tbl>
    <w:p w14:paraId="7F47E1F4" w14:textId="77777777" w:rsidR="00EF295C" w:rsidRDefault="00EF295C">
      <w:pPr>
        <w:pBdr>
          <w:top w:val="nil"/>
          <w:left w:val="nil"/>
          <w:bottom w:val="nil"/>
          <w:right w:val="nil"/>
          <w:between w:val="nil"/>
        </w:pBdr>
        <w:jc w:val="left"/>
        <w:rPr>
          <w:b/>
        </w:rPr>
      </w:pPr>
    </w:p>
    <w:p w14:paraId="3D15AF15" w14:textId="77777777" w:rsidR="00FB2C0A" w:rsidRDefault="00FB2C0A">
      <w:pPr>
        <w:spacing w:line="256" w:lineRule="auto"/>
        <w:ind w:right="-590"/>
        <w:jc w:val="left"/>
        <w:rPr>
          <w:b/>
        </w:rPr>
      </w:pPr>
    </w:p>
    <w:p w14:paraId="03B44EBF" w14:textId="3227D4A6" w:rsidR="00EF295C" w:rsidRDefault="00FB6F5D">
      <w:pPr>
        <w:spacing w:line="256" w:lineRule="auto"/>
        <w:ind w:right="-590"/>
        <w:jc w:val="left"/>
      </w:pPr>
      <w:r>
        <w:rPr>
          <w:b/>
        </w:rPr>
        <w:t xml:space="preserve">Віце-прем’єр-міністр України – </w:t>
      </w:r>
    </w:p>
    <w:p w14:paraId="373DA7AA" w14:textId="77777777" w:rsidR="00EF295C" w:rsidRDefault="00FB6F5D">
      <w:pPr>
        <w:spacing w:line="256" w:lineRule="auto"/>
        <w:ind w:right="-590"/>
        <w:jc w:val="left"/>
        <w:rPr>
          <w:b/>
        </w:rPr>
      </w:pPr>
      <w:r>
        <w:rPr>
          <w:b/>
        </w:rPr>
        <w:t>Міністр цифрової трансформації України</w:t>
      </w:r>
      <w:bookmarkStart w:id="0" w:name="bookmark=kix.ua0384xjeplb" w:colFirst="0" w:colLast="0"/>
      <w:bookmarkEnd w:id="0"/>
      <w:r>
        <w:rPr>
          <w:b/>
        </w:rPr>
        <w:tab/>
        <w:t xml:space="preserve">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Михайло ФЕДОРОВ</w:t>
      </w:r>
    </w:p>
    <w:p w14:paraId="5355FA06" w14:textId="77777777" w:rsidR="00EF295C" w:rsidRDefault="00EF295C">
      <w:pPr>
        <w:pBdr>
          <w:top w:val="nil"/>
          <w:left w:val="nil"/>
          <w:bottom w:val="nil"/>
          <w:right w:val="nil"/>
          <w:between w:val="nil"/>
        </w:pBdr>
        <w:jc w:val="left"/>
      </w:pPr>
    </w:p>
    <w:p w14:paraId="2465AD25" w14:textId="77777777" w:rsidR="00EF295C" w:rsidRDefault="00FB6F5D">
      <w:pPr>
        <w:pBdr>
          <w:top w:val="nil"/>
          <w:left w:val="nil"/>
          <w:bottom w:val="nil"/>
          <w:right w:val="nil"/>
          <w:between w:val="nil"/>
        </w:pBdr>
        <w:jc w:val="left"/>
        <w:rPr>
          <w:b/>
        </w:rPr>
      </w:pPr>
      <w:bookmarkStart w:id="1" w:name="_heading=h.gjdgxs" w:colFirst="0" w:colLast="0"/>
      <w:bookmarkEnd w:id="1"/>
      <w:r>
        <w:t>___ ____________ 2021 р.</w:t>
      </w:r>
    </w:p>
    <w:sectPr w:rsidR="00EF29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17" w:right="962" w:bottom="567" w:left="1701" w:header="284" w:footer="9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8F522" w14:textId="77777777" w:rsidR="00FB6F5D" w:rsidRDefault="00FB6F5D">
      <w:r>
        <w:separator/>
      </w:r>
    </w:p>
  </w:endnote>
  <w:endnote w:type="continuationSeparator" w:id="0">
    <w:p w14:paraId="7E661D79" w14:textId="77777777" w:rsidR="00FB6F5D" w:rsidRDefault="00FB6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61B39" w14:textId="77777777" w:rsidR="00EF295C" w:rsidRDefault="00EF295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7BF30" w14:textId="77777777" w:rsidR="00EF295C" w:rsidRDefault="00EF295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29959" w14:textId="77777777" w:rsidR="00EF295C" w:rsidRDefault="00FB6F5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  <w:r>
      <w:rPr>
        <w:color w:val="000000"/>
      </w:rPr>
      <w:br/>
    </w:r>
    <w:r>
      <w:rPr>
        <w:color w:val="000000"/>
      </w:rPr>
      <w:br/>
    </w:r>
    <w:r>
      <w:rPr>
        <w:color w:val="000000"/>
      </w:rPr>
      <w:br/>
    </w:r>
    <w:r>
      <w:rPr>
        <w:color w:val="000000"/>
      </w:rPr>
      <w:br/>
    </w:r>
  </w:p>
  <w:p w14:paraId="5061B68F" w14:textId="77777777" w:rsidR="00EF295C" w:rsidRDefault="00EF295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  <w:p w14:paraId="4FA57F57" w14:textId="77777777" w:rsidR="00EF295C" w:rsidRDefault="00EF295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  <w:p w14:paraId="1B12FBF5" w14:textId="77777777" w:rsidR="00EF295C" w:rsidRDefault="00EF295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  <w:p w14:paraId="4258A731" w14:textId="77777777" w:rsidR="00EF295C" w:rsidRDefault="00EF295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76BE6" w14:textId="77777777" w:rsidR="00FB6F5D" w:rsidRDefault="00FB6F5D">
      <w:r>
        <w:separator/>
      </w:r>
    </w:p>
  </w:footnote>
  <w:footnote w:type="continuationSeparator" w:id="0">
    <w:p w14:paraId="4768790E" w14:textId="77777777" w:rsidR="00FB6F5D" w:rsidRDefault="00FB6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47D5E" w14:textId="77777777" w:rsidR="00EF295C" w:rsidRDefault="00EF295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55FB8" w14:textId="77777777" w:rsidR="00EF295C" w:rsidRDefault="00FB6F5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B2C0A">
      <w:rPr>
        <w:noProof/>
        <w:color w:val="000000"/>
      </w:rPr>
      <w:t>2</w:t>
    </w:r>
    <w:r>
      <w:rPr>
        <w:color w:val="000000"/>
      </w:rPr>
      <w:fldChar w:fldCharType="end"/>
    </w:r>
  </w:p>
  <w:p w14:paraId="033612AE" w14:textId="77777777" w:rsidR="00EF295C" w:rsidRDefault="00EF295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F56B7" w14:textId="77777777" w:rsidR="00EF295C" w:rsidRDefault="00EF295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95C"/>
    <w:rsid w:val="00EF295C"/>
    <w:rsid w:val="00FB2C0A"/>
    <w:rsid w:val="00FB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2440DA5"/>
  <w15:docId w15:val="{765CEECE-4A3E-6148-8DE1-5809867E9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uk-UA" w:eastAsia="en-GB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D49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312D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26F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26FA"/>
    <w:rPr>
      <w:rFonts w:ascii="Times New Roman" w:hAnsi="Times New Roman"/>
      <w:sz w:val="28"/>
      <w:szCs w:val="28"/>
      <w:lang w:val="uk-UA"/>
    </w:rPr>
  </w:style>
  <w:style w:type="paragraph" w:styleId="Footer">
    <w:name w:val="footer"/>
    <w:basedOn w:val="Normal"/>
    <w:link w:val="FooterChar"/>
    <w:uiPriority w:val="99"/>
    <w:unhideWhenUsed/>
    <w:rsid w:val="004A26F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26FA"/>
    <w:rPr>
      <w:rFonts w:ascii="Times New Roman" w:hAnsi="Times New Roman"/>
      <w:sz w:val="28"/>
      <w:szCs w:val="28"/>
      <w:lang w:val="uk-UA"/>
    </w:rPr>
  </w:style>
  <w:style w:type="paragraph" w:customStyle="1" w:styleId="rvps2">
    <w:name w:val="rvps2"/>
    <w:basedOn w:val="Normal"/>
    <w:rsid w:val="00740079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styleId="NormalWeb">
    <w:name w:val="Normal (Web)"/>
    <w:basedOn w:val="Normal"/>
    <w:uiPriority w:val="99"/>
    <w:unhideWhenUsed/>
    <w:rsid w:val="00740079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customStyle="1" w:styleId="rvts11">
    <w:name w:val="rvts11"/>
    <w:basedOn w:val="DefaultParagraphFont"/>
    <w:rsid w:val="00740079"/>
  </w:style>
  <w:style w:type="character" w:styleId="Hyperlink">
    <w:name w:val="Hyperlink"/>
    <w:basedOn w:val="DefaultParagraphFont"/>
    <w:uiPriority w:val="99"/>
    <w:semiHidden/>
    <w:unhideWhenUsed/>
    <w:rsid w:val="0074007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40079"/>
    <w:pPr>
      <w:ind w:left="720"/>
      <w:contextualSpacing/>
    </w:pPr>
  </w:style>
  <w:style w:type="character" w:customStyle="1" w:styleId="rvts37">
    <w:name w:val="rvts37"/>
    <w:basedOn w:val="DefaultParagraphFont"/>
    <w:rsid w:val="00740079"/>
  </w:style>
  <w:style w:type="character" w:customStyle="1" w:styleId="rvts46">
    <w:name w:val="rvts46"/>
    <w:basedOn w:val="DefaultParagraphFont"/>
    <w:rsid w:val="009448FC"/>
  </w:style>
  <w:style w:type="paragraph" w:customStyle="1" w:styleId="rvps12">
    <w:name w:val="rvps12"/>
    <w:basedOn w:val="Normal"/>
    <w:rsid w:val="00E739E5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rvps7">
    <w:name w:val="rvps7"/>
    <w:basedOn w:val="Normal"/>
    <w:rsid w:val="00E739E5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customStyle="1" w:styleId="rvts15">
    <w:name w:val="rvts15"/>
    <w:basedOn w:val="DefaultParagraphFont"/>
    <w:rsid w:val="00E739E5"/>
  </w:style>
  <w:style w:type="paragraph" w:styleId="BalloonText">
    <w:name w:val="Balloon Text"/>
    <w:basedOn w:val="Normal"/>
    <w:link w:val="BalloonTextChar"/>
    <w:uiPriority w:val="99"/>
    <w:semiHidden/>
    <w:unhideWhenUsed/>
    <w:rsid w:val="00091B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BA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507C7"/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0yiut2JWrlvi4IaZHlvUdAW88g==">AMUW2mXcBv+k2ilSLGsXgUamboOiuZBCU1ScFKR7B7C7McVPm3FsQWPwo1bw89GzjjU7KoVJ57kBCVDvoNmPL81q35d8joXa4j7LFxr3S0YXezf6Nk/q//36eKsR2tMYK9KB/Yh9AMyfmUOJWnExGhXwNhM2NRGIQvH2mqJqRSu2Lpyel81MULg=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702</Words>
  <Characters>4004</Characters>
  <Application>Microsoft Office Word</Application>
  <DocSecurity>0</DocSecurity>
  <Lines>33</Lines>
  <Paragraphs>9</Paragraphs>
  <ScaleCrop>false</ScaleCrop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s.isaenko@outlook.com</dc:creator>
  <cp:lastModifiedBy>Mariia Hrynyshyn</cp:lastModifiedBy>
  <cp:revision>2</cp:revision>
  <dcterms:created xsi:type="dcterms:W3CDTF">2020-12-21T12:49:00Z</dcterms:created>
  <dcterms:modified xsi:type="dcterms:W3CDTF">2021-08-18T14:04:00Z</dcterms:modified>
</cp:coreProperties>
</file>