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 проекту постанови Кабінету Міністрів України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,,Про внесення зміни у додаток 4 до Порядку передачі в оренду державного та комунального майна”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A67FCE" w:rsidRDefault="00E56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Мета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Проект акта розроблено з метою забезпечення отримання громадянами соціально важливої послуги з доступу до Інтернету, що сприятиме досягненню цілей Уряду щодо забезпечення доступу до швидкісного Інтернету громадян.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  <w:highlight w:val="white"/>
        </w:rPr>
        <w:t xml:space="preserve">Обґрунтування необхідності прийняття акта </w:t>
      </w:r>
    </w:p>
    <w:p w:rsidR="00A67FCE" w:rsidRDefault="00E5682C">
      <w:pPr>
        <w:widowControl w:val="0"/>
        <w:ind w:firstLine="567"/>
        <w:jc w:val="both"/>
        <w:rPr>
          <w:sz w:val="28"/>
          <w:szCs w:val="28"/>
        </w:rPr>
      </w:pPr>
      <w:r w:rsidRPr="00785738">
        <w:rPr>
          <w:sz w:val="28"/>
          <w:szCs w:val="28"/>
        </w:rPr>
        <w:t xml:space="preserve">Відповідно до </w:t>
      </w:r>
      <w:r w:rsidR="00785738" w:rsidRPr="009F77D5">
        <w:rPr>
          <w:sz w:val="28"/>
          <w:szCs w:val="28"/>
        </w:rPr>
        <w:t>під</w:t>
      </w:r>
      <w:r w:rsidRPr="009F77D5">
        <w:rPr>
          <w:sz w:val="28"/>
          <w:szCs w:val="28"/>
        </w:rPr>
        <w:t>пункту 2.2</w:t>
      </w:r>
      <w:r w:rsidR="00785738" w:rsidRPr="009F77D5">
        <w:rPr>
          <w:sz w:val="28"/>
          <w:szCs w:val="28"/>
        </w:rPr>
        <w:t xml:space="preserve"> пункту 2 </w:t>
      </w:r>
      <w:r w:rsidRPr="009F77D5">
        <w:rPr>
          <w:sz w:val="28"/>
          <w:szCs w:val="28"/>
        </w:rPr>
        <w:t>розділу</w:t>
      </w:r>
      <w:r w:rsidR="00785738" w:rsidRPr="009F77D5">
        <w:rPr>
          <w:sz w:val="28"/>
          <w:szCs w:val="28"/>
        </w:rPr>
        <w:t xml:space="preserve"> «Довгострокові пріоритети діяльності Уряду»</w:t>
      </w:r>
      <w:r w:rsidR="00785738" w:rsidRPr="00785738">
        <w:rPr>
          <w:color w:val="FF0000"/>
          <w:sz w:val="28"/>
          <w:szCs w:val="28"/>
        </w:rPr>
        <w:t xml:space="preserve"> </w:t>
      </w:r>
      <w:r w:rsidRPr="00785738">
        <w:rPr>
          <w:sz w:val="28"/>
          <w:szCs w:val="28"/>
        </w:rPr>
        <w:t xml:space="preserve">Програми діяльності Кабінету Міністрів України, затвердженої постановою Кабінету Міністрів України від 12.06.2020 </w:t>
      </w:r>
      <w:r w:rsidR="00EE39E1" w:rsidRPr="00785738">
        <w:rPr>
          <w:sz w:val="28"/>
          <w:szCs w:val="28"/>
        </w:rPr>
        <w:br/>
      </w:r>
      <w:r w:rsidRPr="00785738">
        <w:rPr>
          <w:sz w:val="28"/>
          <w:szCs w:val="28"/>
        </w:rPr>
        <w:t>№ 471</w:t>
      </w:r>
      <w:r>
        <w:rPr>
          <w:sz w:val="28"/>
          <w:szCs w:val="28"/>
        </w:rPr>
        <w:t>, одними із пріоритетних завдань Уряду визначено</w:t>
      </w:r>
      <w:r w:rsidR="00EE39E1" w:rsidRPr="009F77D5">
        <w:rPr>
          <w:sz w:val="28"/>
          <w:szCs w:val="28"/>
        </w:rPr>
        <w:t>, зокрема,</w:t>
      </w:r>
      <w:r w:rsidRPr="009F7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розвиток мереж доступу до Інтернету, створення умов для мобільних технологій четвертого та п’ятого поколінь, забезпечення доступу соціальних закладів інфраструктури, органів місцевого самоврядування і громадян до високошвидкісного Інтернету. Очікуваними результатами виконання </w:t>
      </w:r>
      <w:r w:rsidR="00D9140B">
        <w:rPr>
          <w:sz w:val="28"/>
          <w:szCs w:val="28"/>
        </w:rPr>
        <w:br/>
      </w:r>
      <w:r w:rsidR="00D9140B" w:rsidRPr="009F77D5">
        <w:rPr>
          <w:sz w:val="28"/>
          <w:szCs w:val="28"/>
        </w:rPr>
        <w:t xml:space="preserve">підпункту </w:t>
      </w:r>
      <w:r w:rsidRPr="009F77D5">
        <w:rPr>
          <w:sz w:val="28"/>
          <w:szCs w:val="28"/>
        </w:rPr>
        <w:t xml:space="preserve">2.2 </w:t>
      </w:r>
      <w:r>
        <w:rPr>
          <w:sz w:val="28"/>
          <w:szCs w:val="28"/>
        </w:rPr>
        <w:t>є наступні показники:</w:t>
      </w:r>
    </w:p>
    <w:p w:rsidR="00A67FCE" w:rsidRDefault="00E5682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 відсотків громадян України проживають в населених пунктах, які мають покриття мобільним широкосмуговим доступом до Інтернету із швидкістю не менше 2 Мбіт/с;</w:t>
      </w:r>
    </w:p>
    <w:p w:rsidR="00A67FCE" w:rsidRDefault="00E5682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 відсотків сільських домогосподарств мають технічну можливість підключитися до фіксованого широкосмугового доступу до мережі Інтернет із швидкістю не менше 100 Мбіт/с;</w:t>
      </w:r>
    </w:p>
    <w:p w:rsidR="00A67FCE" w:rsidRDefault="00E5682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75 відсотків домогосподарств користуються фіксованим широкосмуговим доступом до мережі Інтернет із швидкістю не менше 30 Мбіт/с;</w:t>
      </w:r>
    </w:p>
    <w:p w:rsidR="00A67FCE" w:rsidRDefault="00E5682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 відсотків закладів соціальної інфраструктури та органів місцевого самоврядування підключені до широкосмугового доступу до мережі Інтернет із швидкістю не менше 100 Мбіт/с.</w:t>
      </w:r>
    </w:p>
    <w:p w:rsidR="00A67FCE" w:rsidRDefault="00E5682C" w:rsidP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максимального покриття території України мережами мобільного зв’язку було прийнято указ Президента України «Про деякі заходи з покращення доступу до мобільного Інтернету» від 08.07.2019 № 497, відповідно до якого Уряду та Національній комісії, що здійснює державне регулювання у сфері зв’язку та інформатизації, було доручено вивільнити радіочастоти в діапазоні 790-960 МГц для функціонування мереж мобільного зв’язку третього та четвертого поколінь, а також сприяти видачі та переоформленню відповідних ліцензій.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Відповідно до рішення Національної комісії, що здійснює регулювання у сфері зв’язку та інформатизації від 07.02.2020 № 48, операторам телекомунікацій у 2020 році видано ліцензії на впровадження технології 4G по всій території України на радіочастотах 900 МГц (далі – проект LTE900). Три найбільші оператори мобільного зв’язку взяли на себе зобов’язання забезпечити можливість надання послуг з використанням </w:t>
      </w:r>
      <w:proofErr w:type="spellStart"/>
      <w:r>
        <w:rPr>
          <w:sz w:val="28"/>
          <w:szCs w:val="28"/>
        </w:rPr>
        <w:t>радіотехнології</w:t>
      </w:r>
      <w:proofErr w:type="spellEnd"/>
      <w:r>
        <w:rPr>
          <w:sz w:val="28"/>
          <w:szCs w:val="28"/>
        </w:rPr>
        <w:t xml:space="preserve"> «Міжнародний рухомий (мобільний) зв’язок IMT» із дотриманням показників якості послуг рухомого (мобільного) зв’язку та їх граничних нормованих рівнів, затверджених центральним органом виконавчої влади у галузі зв’язку, з середньою швидкістю передавання даних не менше 2 Мбіт/с з дати видачі (початку дії) нової ліцензії у такі строки: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01.07.2022 у кожному населеному пункті із населенням більше 2 000 осіб за умови, що сукупна кількість разом з іншими населеними пунктами складатиме не менше 90% населення України;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01.01.2023 на міжнародних автомобільних дорогах регіону;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01.07.2024 на національних автомобільних дорогах. Завдяки реалізації проекту LTE900, який стартував у липні 2020 року – понад 7,7 млн українців отримали 4G (12,9 тис населених пунктів). При цьому понад 2,1 млн українців отримали 4G вперше (6 тис населених пунктів). Реалізація цих планів є одним із ключових пріоритетів </w:t>
      </w:r>
      <w:proofErr w:type="spellStart"/>
      <w:r>
        <w:rPr>
          <w:sz w:val="28"/>
          <w:szCs w:val="28"/>
        </w:rPr>
        <w:t>Мінцифри</w:t>
      </w:r>
      <w:proofErr w:type="spellEnd"/>
      <w:r>
        <w:rPr>
          <w:sz w:val="28"/>
          <w:szCs w:val="28"/>
        </w:rPr>
        <w:t xml:space="preserve"> та дозволить значно покращити якість мобільного та Інтернет зв’язку по всій території України. Оренда приміщень державної та комунальної власності для розміщення телекомунікаційного обладнання є однією з передумов виконання цих планів, однак для успішної реалізації цих заходів необхідним є спрощення процедури продовження договорів оренди, що дозволить закріпити стабільність покриття фіксованого Інтернету та мережі 4G.</w:t>
      </w:r>
    </w:p>
    <w:p w:rsidR="00A67FCE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резолюції ООН A/HRC/32/L.20 від 27.06.2016 право на доступ до мережі Інтернет визнається базовим правом людини.  Кожна держава має докласти зусиль для подолання цифрового розриву та забезпечення людей доступом до Інтернету. Як зазначено в резолюції ООН, завдяки своєму унікальному характеру, Інтернет не тільки надає можливість для реалізації людиною права на свободу думок та їх поширення, але й стимулює розвиток та прогрес суспільства в цілому.</w:t>
      </w:r>
    </w:p>
    <w:p w:rsidR="00A67FCE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Інтернет та мобільний зв’язок надають можливість людям спілкуватися один з одним будь-де та будь-коли, що надзвичайно важливо для осіб з інвалідністю, медичними застереженнями та для всіх людей під час техногенних, екологічних та епідеміологічних криз.</w:t>
      </w:r>
    </w:p>
    <w:p w:rsidR="00C912C5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 час епідеміологічної та економічної кризи, з якою країна зіштовхнулися через пандемію гострої респіраторної хвороби COVID-19, спричинену коронавірусом SARS-CoV-2, Інтернет та мобільний зв’язок необхідні не лише для стримування розповсюдження вірусу, але і для здійснення заходів соціальної ізоляції, вакцинації забезпечення безперебійності робочих процесів держави та бізнесу, що має надзвичайно важливе соціальне значення.</w:t>
      </w:r>
    </w:p>
    <w:p w:rsidR="00A67FCE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FCE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додатку 4 до Порядку передачі в оренду державного та комунального майна, затвердженого </w:t>
      </w:r>
      <w:r w:rsidR="005908C2" w:rsidRPr="009F77D5">
        <w:rPr>
          <w:sz w:val="28"/>
          <w:szCs w:val="28"/>
        </w:rPr>
        <w:t>п</w:t>
      </w:r>
      <w:r w:rsidRPr="009F77D5">
        <w:rPr>
          <w:sz w:val="28"/>
          <w:szCs w:val="28"/>
        </w:rPr>
        <w:t>остановою</w:t>
      </w:r>
      <w:r w:rsidR="005908C2" w:rsidRPr="009F77D5">
        <w:rPr>
          <w:sz w:val="28"/>
          <w:szCs w:val="28"/>
        </w:rPr>
        <w:t xml:space="preserve"> Кабінету Міністрів України від 0</w:t>
      </w:r>
      <w:r w:rsidR="008772FB" w:rsidRPr="009F77D5">
        <w:rPr>
          <w:sz w:val="28"/>
          <w:szCs w:val="28"/>
        </w:rPr>
        <w:t xml:space="preserve">3.06.2020 </w:t>
      </w:r>
      <w:r w:rsidRPr="009F77D5">
        <w:rPr>
          <w:sz w:val="28"/>
          <w:szCs w:val="28"/>
        </w:rPr>
        <w:t>№ 483</w:t>
      </w:r>
      <w:r w:rsidR="008772FB" w:rsidRPr="009F77D5">
        <w:rPr>
          <w:sz w:val="28"/>
          <w:szCs w:val="28"/>
        </w:rPr>
        <w:t>,</w:t>
      </w:r>
      <w:r w:rsidRPr="009F77D5">
        <w:rPr>
          <w:sz w:val="28"/>
          <w:szCs w:val="28"/>
        </w:rPr>
        <w:t xml:space="preserve"> не зазначено </w:t>
      </w:r>
      <w:r>
        <w:rPr>
          <w:sz w:val="28"/>
          <w:szCs w:val="28"/>
        </w:rPr>
        <w:t>постачальників електронних комунікаційних послуг</w:t>
      </w:r>
      <w:r w:rsidRPr="009F77D5">
        <w:rPr>
          <w:sz w:val="28"/>
          <w:szCs w:val="28"/>
        </w:rPr>
        <w:t xml:space="preserve">. </w:t>
      </w:r>
      <w:r>
        <w:rPr>
          <w:sz w:val="28"/>
          <w:szCs w:val="28"/>
        </w:rPr>
        <w:t>Потреба громадян в мобільному зв’язку та Інтернеті є однією з базових потреб, які є соціально важливими, а отже додаток 4 потребує уточнення в частині віднесення постачальників електронних комунікаційних послуг, для розміщення технічних засобів електронних комунікацій, до переліку підприємств, установ, організацій, що надають соціально важливі послуги населенню.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державного майна України листом № 10-16-12005 від 26.05.2021 повідомив </w:t>
      </w:r>
      <w:proofErr w:type="spellStart"/>
      <w:r>
        <w:rPr>
          <w:sz w:val="28"/>
          <w:szCs w:val="28"/>
        </w:rPr>
        <w:t>Мінцифри</w:t>
      </w:r>
      <w:proofErr w:type="spellEnd"/>
      <w:r>
        <w:rPr>
          <w:sz w:val="28"/>
          <w:szCs w:val="28"/>
        </w:rPr>
        <w:t>, що результати аукціонів за участі операторів та провайдерів телекомунікацій, що ініційовані з метою розміщення телекомунікаційного обладнання, проводяться лише з одним учасником. Тобто, конкуренція щодо оренди частини дахів, стін, технічних приміщень відсутня.</w:t>
      </w:r>
    </w:p>
    <w:p w:rsidR="00A67FCE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тривалими в часі та неефективними аукціонами щодо повторного оформлення договорів оренди з постачальниками електронних комунікаційних послуг, для забезпечення стабільності виконання заходів щодо інформатизації, передбачених Указом Президента України від 08.07.2019 № 497 «Про деякі заходи з покращення доступу до мобільного Інтернету», постановою Кабінету Міністрів України від 05.08.2020 № 695 «Про затвердження Державної стратегії регіонального розвитку на 2021-2027 роки» та постановою Кабінету Міністрів України від 12.06.2020 № 471 «Про затвердження Програми діяльності Кабінету Міністрів України» вносяться запропоновані зміни. </w:t>
      </w:r>
    </w:p>
    <w:p w:rsidR="00A67FCE" w:rsidRDefault="00E56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акта забезпечуватиме більш стабільну роботу мобільного зв’язку та Інтернету, які є соціально важливими для населення, що матиме позитивний ефект для держави, громадян та бізнесу. 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  <w:highlight w:val="white"/>
        </w:rPr>
        <w:t xml:space="preserve"> Основні положення проекту акта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акта пропонується внести зміну у додаток 4 до Порядку передачі в оренду державного та комунального майна, затвердженого </w:t>
      </w:r>
      <w:r w:rsidR="008772FB" w:rsidRPr="009F77D5">
        <w:rPr>
          <w:sz w:val="28"/>
          <w:szCs w:val="28"/>
        </w:rPr>
        <w:t>постановою Кабінету Міністрів України від 03.06.2020 № 483,</w:t>
      </w:r>
      <w:r w:rsidR="008772FB" w:rsidRPr="00950A5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 метою включення </w:t>
      </w:r>
      <w:r>
        <w:rPr>
          <w:sz w:val="28"/>
          <w:szCs w:val="28"/>
        </w:rPr>
        <w:t xml:space="preserve">постачальників електронних комунікаційних послуг  для розміщення технічних засобів електронних комунікацій, до переліку підприємств, установ, організацій, що надають соціально важливі послуги населенню. 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Правові аспекти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Перелік нормативно-правових актів, що діють у відповідній сфері суспільних відносин: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,,Про оренду державного та комунального майна”;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,,Про електронні комунікації”;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постанова Кабінету Міністрів України від 03.06.2020 № 483 ,,Деякі питання оренди державного та комунального майна</w:t>
      </w:r>
      <w:r>
        <w:rPr>
          <w:sz w:val="28"/>
          <w:szCs w:val="28"/>
          <w:highlight w:val="white"/>
        </w:rPr>
        <w:t>”;</w:t>
      </w:r>
    </w:p>
    <w:p w:rsidR="00A67FCE" w:rsidRDefault="00E5682C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постанова Кабінету Міністрів України від 28.04.2021 № 630 ,,Деякі питання розрахунку орендної плати за державне майно</w:t>
      </w:r>
      <w:r>
        <w:rPr>
          <w:sz w:val="28"/>
          <w:szCs w:val="28"/>
          <w:highlight w:val="white"/>
        </w:rPr>
        <w:t>”.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C912C5" w:rsidRDefault="00C912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  <w:highlight w:val="white"/>
        </w:rPr>
        <w:t>Фінансово-економічне обґрунтування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акта не потребуватиме додаткового фінансування з державного чи місцевих бюджетів.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6. Позиція заінтересованих сторін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bookmarkStart w:id="0" w:name="_heading=h.30j0zll" w:colFirst="0" w:colLast="0"/>
      <w:bookmarkEnd w:id="0"/>
      <w:r>
        <w:rPr>
          <w:sz w:val="28"/>
          <w:szCs w:val="28"/>
        </w:rPr>
        <w:t xml:space="preserve">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03.11.2010 № 996 «Про забезпечення участі громадськості у формуванні та реалізації державної політики», проект акта розміщено на офіційному </w:t>
      </w:r>
      <w:proofErr w:type="spellStart"/>
      <w:r>
        <w:rPr>
          <w:sz w:val="28"/>
          <w:szCs w:val="28"/>
        </w:rPr>
        <w:t>вебсайті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Мінцифри</w:t>
      </w:r>
      <w:proofErr w:type="spellEnd"/>
      <w:r>
        <w:rPr>
          <w:sz w:val="28"/>
          <w:szCs w:val="28"/>
        </w:rPr>
        <w:t>.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 не стосується питань функціонування місцевого самоврядування, прав та інтересів територіальних громад, місцевого та регіонального розвитку.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 не стосується соціально-трудової сфери, прав осіб з інвалідністю,</w:t>
      </w:r>
      <w:r>
        <w:rPr>
          <w:sz w:val="28"/>
          <w:szCs w:val="28"/>
          <w:highlight w:val="white"/>
        </w:rPr>
        <w:t xml:space="preserve"> функціонування і застосування української мови як державної,</w:t>
      </w:r>
      <w:r>
        <w:rPr>
          <w:sz w:val="28"/>
          <w:szCs w:val="28"/>
        </w:rPr>
        <w:t xml:space="preserve"> сфери наукової та науково-технічної діяльності та не потребує погодження представниками всеукраїнських профспілок, їхніх об’єднань та всеукраїнських об’єднань організацій роботодавців, всеукраїнських об’єднань осіб з інвалідністю, Наукового комітету Національної ради з питань розвитку науки і технологій.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Оцінка відповідності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проекті акта відсутні положення, що стосуються: зобов’язань України у сфері європейської інтеграції;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з корупцією; створюють підстави для дискримінації.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  <w:highlight w:val="white"/>
        </w:rPr>
        <w:t xml:space="preserve">Прогноз результатів 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акту є регуляторним актом.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акта забезпечить </w:t>
      </w:r>
      <w:r>
        <w:rPr>
          <w:sz w:val="28"/>
          <w:szCs w:val="28"/>
          <w:highlight w:val="white"/>
        </w:rPr>
        <w:t xml:space="preserve">спрощення процедури продовження договорів оренди та сприятиме </w:t>
      </w:r>
      <w:r>
        <w:rPr>
          <w:sz w:val="28"/>
          <w:szCs w:val="28"/>
        </w:rPr>
        <w:t>стабільності покриття мереж мобільному зв’язку та Інтернету.</w:t>
      </w: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Інформація щодо впливу реалізації акта на інтереси заінтересованих сторін:</w:t>
      </w:r>
    </w:p>
    <w:p w:rsidR="00A67FCE" w:rsidRDefault="00A67FC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:rsidR="00950A55" w:rsidRDefault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:rsidR="00950A55" w:rsidRDefault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:rsidR="00950A55" w:rsidRDefault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:rsidR="00950A55" w:rsidRDefault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:rsidR="00950A55" w:rsidRDefault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p w:rsidR="00950A55" w:rsidRPr="009F77D5" w:rsidRDefault="00950A5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ru-RU"/>
        </w:rPr>
      </w:pPr>
    </w:p>
    <w:tbl>
      <w:tblPr>
        <w:tblStyle w:val="ae"/>
        <w:tblpPr w:leftFromText="180" w:rightFromText="180" w:horzAnchor="margin" w:tblpY="55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955"/>
        <w:gridCol w:w="4132"/>
      </w:tblGrid>
      <w:tr w:rsidR="00A67FCE" w:rsidTr="00950A55">
        <w:trPr>
          <w:trHeight w:val="1052"/>
        </w:trPr>
        <w:tc>
          <w:tcPr>
            <w:tcW w:w="2689" w:type="dxa"/>
            <w:vMerge w:val="restart"/>
          </w:tcPr>
          <w:p w:rsidR="00A67FCE" w:rsidRPr="00950A55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950A55">
              <w:rPr>
                <w:b/>
                <w:bCs/>
                <w:sz w:val="24"/>
                <w:szCs w:val="24"/>
              </w:rPr>
              <w:lastRenderedPageBreak/>
              <w:t>Заінтересована сторона</w:t>
            </w:r>
          </w:p>
        </w:tc>
        <w:tc>
          <w:tcPr>
            <w:tcW w:w="2955" w:type="dxa"/>
            <w:vMerge w:val="restart"/>
          </w:tcPr>
          <w:p w:rsidR="00A67FCE" w:rsidRPr="00950A55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950A55">
              <w:rPr>
                <w:b/>
                <w:bCs/>
                <w:sz w:val="24"/>
                <w:szCs w:val="24"/>
              </w:rPr>
              <w:t xml:space="preserve">Вплив реалізації акта на </w:t>
            </w:r>
          </w:p>
          <w:p w:rsidR="00A67FCE" w:rsidRPr="00950A55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950A55">
              <w:rPr>
                <w:b/>
                <w:bCs/>
                <w:sz w:val="24"/>
                <w:szCs w:val="24"/>
              </w:rPr>
              <w:t xml:space="preserve">заінтересовану сторону </w:t>
            </w:r>
          </w:p>
        </w:tc>
        <w:tc>
          <w:tcPr>
            <w:tcW w:w="4132" w:type="dxa"/>
            <w:vMerge w:val="restart"/>
          </w:tcPr>
          <w:p w:rsidR="00A67FCE" w:rsidRPr="00950A55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950A55">
              <w:rPr>
                <w:b/>
                <w:bCs/>
                <w:sz w:val="24"/>
                <w:szCs w:val="24"/>
              </w:rPr>
              <w:t>Пояснення очікуваного впливу</w:t>
            </w:r>
          </w:p>
        </w:tc>
      </w:tr>
      <w:tr w:rsidR="00A67FCE" w:rsidTr="00C912C5">
        <w:trPr>
          <w:trHeight w:val="317"/>
        </w:trPr>
        <w:tc>
          <w:tcPr>
            <w:tcW w:w="2689" w:type="dxa"/>
            <w:vMerge/>
          </w:tcPr>
          <w:p w:rsidR="00A67FCE" w:rsidRDefault="00A67FCE" w:rsidP="0095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A67FCE" w:rsidRDefault="00A67FCE" w:rsidP="0095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32" w:type="dxa"/>
            <w:vMerge/>
          </w:tcPr>
          <w:p w:rsidR="00A67FCE" w:rsidRDefault="00A67FCE" w:rsidP="00950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67FCE" w:rsidTr="00950A55">
        <w:trPr>
          <w:trHeight w:val="1476"/>
        </w:trPr>
        <w:tc>
          <w:tcPr>
            <w:tcW w:w="2689" w:type="dxa"/>
          </w:tcPr>
          <w:p w:rsidR="00A67FCE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Громадяни</w:t>
            </w:r>
          </w:p>
        </w:tc>
        <w:tc>
          <w:tcPr>
            <w:tcW w:w="2955" w:type="dxa"/>
          </w:tcPr>
          <w:p w:rsidR="00A67FCE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Позитивний</w:t>
            </w:r>
          </w:p>
        </w:tc>
        <w:tc>
          <w:tcPr>
            <w:tcW w:w="4132" w:type="dxa"/>
          </w:tcPr>
          <w:p w:rsidR="00A67FCE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 акта надаватиме громадянам постійну можливість отримання  мобільних та Інтернет послуг на території України у зв’язку зі стабільністю покриття</w:t>
            </w:r>
          </w:p>
        </w:tc>
      </w:tr>
      <w:tr w:rsidR="00A67FCE" w:rsidTr="00950A55">
        <w:trPr>
          <w:trHeight w:val="1305"/>
        </w:trPr>
        <w:tc>
          <w:tcPr>
            <w:tcW w:w="2689" w:type="dxa"/>
          </w:tcPr>
          <w:p w:rsidR="00A67FCE" w:rsidRPr="008772FB" w:rsidRDefault="008772FB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 w:rsidRPr="009F77D5">
              <w:rPr>
                <w:sz w:val="24"/>
                <w:szCs w:val="24"/>
              </w:rPr>
              <w:t>Постачальники електронних комунікаційних послуг</w:t>
            </w:r>
          </w:p>
        </w:tc>
        <w:tc>
          <w:tcPr>
            <w:tcW w:w="2955" w:type="dxa"/>
          </w:tcPr>
          <w:p w:rsidR="00A67FCE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Позитивний</w:t>
            </w:r>
          </w:p>
        </w:tc>
        <w:tc>
          <w:tcPr>
            <w:tcW w:w="4132" w:type="dxa"/>
          </w:tcPr>
          <w:p w:rsidR="00A67FCE" w:rsidRDefault="00E5682C" w:rsidP="0095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 акта сприятиме постачальникам електронних комунікаційних послуг у виконанні планів із покриття мобільним зв’язком та Інтернетом території України.</w:t>
            </w:r>
          </w:p>
        </w:tc>
      </w:tr>
    </w:tbl>
    <w:p w:rsidR="00EA1285" w:rsidRDefault="00EA1285">
      <w:pPr>
        <w:ind w:right="-420"/>
        <w:jc w:val="both"/>
        <w:rPr>
          <w:b/>
          <w:sz w:val="28"/>
          <w:szCs w:val="28"/>
        </w:rPr>
      </w:pPr>
    </w:p>
    <w:p w:rsidR="00950A55" w:rsidRDefault="00950A55">
      <w:pPr>
        <w:ind w:right="-420"/>
        <w:jc w:val="both"/>
        <w:rPr>
          <w:b/>
          <w:sz w:val="28"/>
          <w:szCs w:val="28"/>
        </w:rPr>
      </w:pPr>
    </w:p>
    <w:p w:rsidR="00A67FCE" w:rsidRDefault="00E5682C">
      <w:pPr>
        <w:ind w:right="-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Віце-прем’єр-міністр України –</w:t>
      </w:r>
    </w:p>
    <w:p w:rsidR="00A67FCE" w:rsidRDefault="00E5682C">
      <w:pPr>
        <w:ind w:right="-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Міністр цифрової трансформації України                       </w:t>
      </w:r>
      <w:r w:rsidR="00C912C5">
        <w:rPr>
          <w:b/>
          <w:sz w:val="28"/>
          <w:szCs w:val="28"/>
        </w:rPr>
        <w:t xml:space="preserve"> </w:t>
      </w:r>
      <w:bookmarkStart w:id="1" w:name="_GoBack"/>
      <w:bookmarkEnd w:id="1"/>
      <w:r>
        <w:rPr>
          <w:b/>
          <w:sz w:val="28"/>
          <w:szCs w:val="28"/>
        </w:rPr>
        <w:t>Михайло ФЕДОРОВ</w:t>
      </w:r>
    </w:p>
    <w:p w:rsidR="00A67FCE" w:rsidRDefault="00A67FCE">
      <w:pPr>
        <w:ind w:right="-420"/>
        <w:jc w:val="both"/>
        <w:rPr>
          <w:sz w:val="28"/>
          <w:szCs w:val="28"/>
        </w:rPr>
      </w:pPr>
    </w:p>
    <w:p w:rsidR="00A67FCE" w:rsidRDefault="00E5682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  ___________2021 р.</w:t>
      </w:r>
    </w:p>
    <w:p w:rsidR="00A67FCE" w:rsidRDefault="00A67FCE"/>
    <w:sectPr w:rsidR="00A67FCE" w:rsidSect="00950A55">
      <w:headerReference w:type="default" r:id="rId8"/>
      <w:footerReference w:type="first" r:id="rId9"/>
      <w:pgSz w:w="11906" w:h="16838"/>
      <w:pgMar w:top="993" w:right="566" w:bottom="851" w:left="1701" w:header="568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15DD" w:rsidRDefault="005215DD">
      <w:r>
        <w:separator/>
      </w:r>
    </w:p>
  </w:endnote>
  <w:endnote w:type="continuationSeparator" w:id="0">
    <w:p w:rsidR="005215DD" w:rsidRDefault="005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A67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A67FCE" w:rsidRDefault="00E568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15DD" w:rsidRDefault="005215DD">
      <w:r>
        <w:separator/>
      </w:r>
    </w:p>
  </w:footnote>
  <w:footnote w:type="continuationSeparator" w:id="0">
    <w:p w:rsidR="005215DD" w:rsidRDefault="0052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FCE" w:rsidRPr="00950A55" w:rsidRDefault="00C64F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 w:rsidRPr="00950A55">
      <w:rPr>
        <w:color w:val="000000"/>
        <w:sz w:val="24"/>
        <w:szCs w:val="24"/>
      </w:rPr>
      <w:fldChar w:fldCharType="begin"/>
    </w:r>
    <w:r w:rsidR="00E5682C" w:rsidRPr="00950A55">
      <w:rPr>
        <w:color w:val="000000"/>
        <w:sz w:val="24"/>
        <w:szCs w:val="24"/>
      </w:rPr>
      <w:instrText>PAGE</w:instrText>
    </w:r>
    <w:r w:rsidRPr="00950A55">
      <w:rPr>
        <w:color w:val="000000"/>
        <w:sz w:val="24"/>
        <w:szCs w:val="24"/>
      </w:rPr>
      <w:fldChar w:fldCharType="separate"/>
    </w:r>
    <w:r w:rsidR="009F77D5" w:rsidRPr="00950A55">
      <w:rPr>
        <w:noProof/>
        <w:color w:val="000000"/>
        <w:sz w:val="24"/>
        <w:szCs w:val="24"/>
      </w:rPr>
      <w:t>5</w:t>
    </w:r>
    <w:r w:rsidRPr="00950A55">
      <w:rPr>
        <w:color w:val="000000"/>
        <w:sz w:val="24"/>
        <w:szCs w:val="24"/>
      </w:rPr>
      <w:fldChar w:fldCharType="end"/>
    </w:r>
  </w:p>
  <w:p w:rsidR="00A67FCE" w:rsidRPr="00950A55" w:rsidRDefault="00A67FCE">
    <w:pPr>
      <w:rPr>
        <w:sz w:val="24"/>
        <w:szCs w:val="24"/>
      </w:rPr>
    </w:pPr>
  </w:p>
  <w:p w:rsidR="00A67FCE" w:rsidRDefault="00A67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15F10"/>
    <w:multiLevelType w:val="multilevel"/>
    <w:tmpl w:val="5854E43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CE"/>
    <w:rsid w:val="00166F6E"/>
    <w:rsid w:val="001F2E8A"/>
    <w:rsid w:val="002930B4"/>
    <w:rsid w:val="00376895"/>
    <w:rsid w:val="004D0FF6"/>
    <w:rsid w:val="00506FE9"/>
    <w:rsid w:val="005215DD"/>
    <w:rsid w:val="005908C2"/>
    <w:rsid w:val="006D395C"/>
    <w:rsid w:val="00735BCE"/>
    <w:rsid w:val="00785738"/>
    <w:rsid w:val="008604D8"/>
    <w:rsid w:val="008772FB"/>
    <w:rsid w:val="008A5EE2"/>
    <w:rsid w:val="00950A55"/>
    <w:rsid w:val="009F77D5"/>
    <w:rsid w:val="00A67FCE"/>
    <w:rsid w:val="00B73E03"/>
    <w:rsid w:val="00C64FCD"/>
    <w:rsid w:val="00C912C5"/>
    <w:rsid w:val="00D9140B"/>
    <w:rsid w:val="00E5682C"/>
    <w:rsid w:val="00EA1285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42C8"/>
  <w15:docId w15:val="{B8DBB264-855B-40E6-A31D-6E542AE2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B4"/>
  </w:style>
  <w:style w:type="paragraph" w:styleId="1">
    <w:name w:val="heading 1"/>
    <w:basedOn w:val="a"/>
    <w:next w:val="a"/>
    <w:uiPriority w:val="9"/>
    <w:qFormat/>
    <w:rsid w:val="002930B4"/>
    <w:pPr>
      <w:keepNext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2930B4"/>
    <w:pPr>
      <w:keepNext/>
      <w:ind w:left="4320" w:firstLine="720"/>
      <w:jc w:val="both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rsid w:val="002930B4"/>
    <w:pPr>
      <w:keepNext/>
      <w:ind w:left="4320"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930B4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30B4"/>
    <w:pPr>
      <w:keepNext/>
      <w:pBdr>
        <w:bottom w:val="single" w:sz="6" w:space="1" w:color="000000"/>
      </w:pBdr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2930B4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30B4"/>
    <w:pPr>
      <w:jc w:val="center"/>
    </w:pPr>
    <w:rPr>
      <w:rFonts w:ascii="Courier New" w:eastAsia="Courier New" w:hAnsi="Courier New" w:cs="Courier New"/>
      <w:b/>
      <w:i/>
      <w:sz w:val="28"/>
      <w:szCs w:val="28"/>
    </w:rPr>
  </w:style>
  <w:style w:type="table" w:customStyle="1" w:styleId="TableNormal0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2930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2930B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C072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AC072D"/>
    <w:pPr>
      <w:widowControl w:val="0"/>
      <w:autoSpaceDE w:val="0"/>
      <w:autoSpaceDN w:val="0"/>
    </w:pPr>
    <w:rPr>
      <w:sz w:val="28"/>
      <w:szCs w:val="28"/>
      <w:lang w:eastAsia="zh-CN"/>
    </w:rPr>
  </w:style>
  <w:style w:type="character" w:customStyle="1" w:styleId="a7">
    <w:name w:val="Основний текст Знак"/>
    <w:basedOn w:val="a0"/>
    <w:link w:val="a6"/>
    <w:uiPriority w:val="1"/>
    <w:semiHidden/>
    <w:rsid w:val="00AC072D"/>
    <w:rPr>
      <w:sz w:val="28"/>
      <w:szCs w:val="28"/>
      <w:lang w:eastAsia="zh-CN"/>
    </w:rPr>
  </w:style>
  <w:style w:type="paragraph" w:customStyle="1" w:styleId="rvps2">
    <w:name w:val="rvps2"/>
    <w:basedOn w:val="a"/>
    <w:rsid w:val="00B518F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C3E3D"/>
    <w:rPr>
      <w:color w:val="0000FF"/>
      <w:u w:val="single"/>
    </w:rPr>
  </w:style>
  <w:style w:type="character" w:customStyle="1" w:styleId="rvts46">
    <w:name w:val="rvts46"/>
    <w:basedOn w:val="a0"/>
    <w:rsid w:val="00EC3E3D"/>
  </w:style>
  <w:style w:type="character" w:customStyle="1" w:styleId="rvts11">
    <w:name w:val="rvts11"/>
    <w:basedOn w:val="a0"/>
    <w:rsid w:val="00EC3E3D"/>
  </w:style>
  <w:style w:type="paragraph" w:styleId="a9">
    <w:name w:val="header"/>
    <w:basedOn w:val="a"/>
    <w:link w:val="aa"/>
    <w:uiPriority w:val="99"/>
    <w:unhideWhenUsed/>
    <w:rsid w:val="0012297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2297B"/>
  </w:style>
  <w:style w:type="paragraph" w:styleId="ab">
    <w:name w:val="footer"/>
    <w:basedOn w:val="a"/>
    <w:link w:val="ac"/>
    <w:uiPriority w:val="99"/>
    <w:unhideWhenUsed/>
    <w:rsid w:val="0012297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2297B"/>
  </w:style>
  <w:style w:type="paragraph" w:styleId="ad">
    <w:name w:val="List Paragraph"/>
    <w:basedOn w:val="a"/>
    <w:uiPriority w:val="34"/>
    <w:qFormat/>
    <w:rsid w:val="00AB4ED3"/>
    <w:pPr>
      <w:ind w:left="720"/>
      <w:contextualSpacing/>
    </w:pPr>
  </w:style>
  <w:style w:type="table" w:customStyle="1" w:styleId="ae">
    <w:basedOn w:val="TableNormal0"/>
    <w:rsid w:val="002930B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9DZNaYPxydfuodH+GuUxI0nrFg==">AMUW2mXZ0RSLB7IMKQLQw9pkhXgQdHAYDD78Lw8SOVzV8ZH/QnS2isUuyTRJoey2lnJA+l1sRmx1QPqo/diLNfW7W8fSf0oU0OG7CNHuRSleqbCxsmJ8AhcVqh88fIC0IVQstTNo7Bll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Кічак Юлія Василівна</cp:lastModifiedBy>
  <cp:revision>3</cp:revision>
  <dcterms:created xsi:type="dcterms:W3CDTF">2021-12-21T17:36:00Z</dcterms:created>
  <dcterms:modified xsi:type="dcterms:W3CDTF">2021-12-21T17:38:00Z</dcterms:modified>
</cp:coreProperties>
</file>