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902" w:rsidRPr="0076699B" w:rsidRDefault="00DB7902" w:rsidP="0098739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699B">
        <w:rPr>
          <w:rFonts w:ascii="Times New Roman" w:hAnsi="Times New Roman" w:cs="Times New Roman"/>
          <w:b/>
          <w:color w:val="000000"/>
          <w:sz w:val="28"/>
          <w:szCs w:val="28"/>
        </w:rPr>
        <w:t>АНАЛІЗ РЕГУЛЯТОРНОГО ВПЛИВУ</w:t>
      </w:r>
    </w:p>
    <w:p w:rsidR="00DB7902" w:rsidRPr="0076699B" w:rsidRDefault="00DB7902" w:rsidP="0098739E">
      <w:pPr>
        <w:pStyle w:val="3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76699B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проекту постанови Кабінету Міністрів України «</w:t>
      </w:r>
      <w:r w:rsidR="00917531" w:rsidRPr="00917531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Про внесення змін до Порядку проведення процедури оцінки відповідності у сфері електронних довірчих послуг</w:t>
      </w:r>
      <w:r w:rsidRPr="0076699B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»</w:t>
      </w:r>
    </w:p>
    <w:p w:rsidR="00DB7902" w:rsidRPr="0076699B" w:rsidRDefault="00DB7902" w:rsidP="0098739E">
      <w:pPr>
        <w:pStyle w:val="3"/>
        <w:spacing w:before="0" w:beforeAutospacing="0" w:after="0" w:afterAutospacing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B7902" w:rsidRDefault="00DB7902" w:rsidP="0098739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699B">
        <w:rPr>
          <w:rFonts w:ascii="Times New Roman" w:hAnsi="Times New Roman" w:cs="Times New Roman"/>
          <w:b/>
          <w:color w:val="000000"/>
          <w:sz w:val="28"/>
          <w:szCs w:val="28"/>
        </w:rPr>
        <w:t>I. Визначення проблеми</w:t>
      </w:r>
    </w:p>
    <w:p w:rsidR="0098739E" w:rsidRPr="00496E54" w:rsidRDefault="0098739E" w:rsidP="0098739E">
      <w:pPr>
        <w:tabs>
          <w:tab w:val="left" w:pos="4275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96E54">
        <w:rPr>
          <w:rFonts w:ascii="Times New Roman" w:eastAsia="Times New Roman" w:hAnsi="Times New Roman" w:cs="Times New Roman"/>
          <w:bCs/>
          <w:sz w:val="28"/>
          <w:szCs w:val="28"/>
        </w:rPr>
        <w:t>Відповідно до вимог у сфері електронних довірчих послуг, затверджених постановою Кабінету Міністрів України від 07 листопада 2018 року № 992, додається Перелік стандартів, що застосовуються кваліфікованими надавачами електронних довірчих послуг під час надання кваліфікованих електронних довірчих послуг.</w:t>
      </w:r>
    </w:p>
    <w:p w:rsidR="0098739E" w:rsidRPr="00496E54" w:rsidRDefault="0098739E" w:rsidP="0098739E">
      <w:pPr>
        <w:tabs>
          <w:tab w:val="left" w:pos="4275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96E54">
        <w:rPr>
          <w:rFonts w:ascii="Times New Roman" w:eastAsia="Times New Roman" w:hAnsi="Times New Roman" w:cs="Times New Roman"/>
          <w:bCs/>
          <w:sz w:val="28"/>
          <w:szCs w:val="28"/>
        </w:rPr>
        <w:t>Так, у зазначеному Переліку є стандарти, що визначають загальні вимоги до кваліфікованого надавача електронних довірчих послуг під час надання кваліфікованих електронних довірчих послуг, а саме ДСТУ ETSI EN 319 403:2016 (ETSI EN 319 403:2015, IDT) “Електронні підписи та інфраструктури (ESI). Оцінювання відповідності провайдерів довірчих послуг. Вимоги до органів з оцінювання відповідності, що оцінюють провайдерів довірчих послуг”, затверджений наказом державного підприємства “Український науково-дослідний і навчальний центр проблем стандартизації, сертифікації та якості” від 27 грудня 2016 р. № 451.</w:t>
      </w:r>
    </w:p>
    <w:p w:rsidR="0098739E" w:rsidRDefault="0098739E" w:rsidP="0098739E">
      <w:pPr>
        <w:tabs>
          <w:tab w:val="left" w:pos="4275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96E54">
        <w:rPr>
          <w:rFonts w:ascii="Times New Roman" w:eastAsia="Times New Roman" w:hAnsi="Times New Roman" w:cs="Times New Roman"/>
          <w:bCs/>
          <w:sz w:val="28"/>
          <w:szCs w:val="28"/>
        </w:rPr>
        <w:t>Водночас Європейським Союзом прийнято нові стандарти, зокрема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26603">
        <w:rPr>
          <w:rFonts w:ascii="Times New Roman" w:eastAsia="Times New Roman" w:hAnsi="Times New Roman" w:cs="Times New Roman"/>
          <w:bCs/>
          <w:sz w:val="28"/>
          <w:szCs w:val="28"/>
        </w:rPr>
        <w:t>ETSI EN 319 403-1:2021 (ETSI EN 319 403-1 V2.3.1 (2020-06), IDT) “Електронні підписи та інфраструктури (ESI). Оцінювання відповідності постачальників довірчих послуг. Частина 1. Вимоги до органів оцінювання відповідності, які оцінюють 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остачальників довірчих послуг” та </w:t>
      </w:r>
      <w:r w:rsidRPr="00D112B6">
        <w:rPr>
          <w:rFonts w:ascii="Times New Roman" w:eastAsia="Times New Roman" w:hAnsi="Times New Roman" w:cs="Times New Roman"/>
          <w:sz w:val="28"/>
          <w:szCs w:val="28"/>
        </w:rPr>
        <w:t xml:space="preserve">ETSI TS 119 403-2:2021 (ETSI TS 119 403-2 V1.2.4 (2020-11), IDT) “Електронні підписи та інфраструктури (ESI). Оцінювання відповідності постачальників довірчих послуг. Частина 2. Додаткові вимоги до органів оцінювання відповідності, що перевіряють постачальників довірчих послуг, </w:t>
      </w:r>
      <w:r>
        <w:rPr>
          <w:rFonts w:ascii="Times New Roman" w:eastAsia="Times New Roman" w:hAnsi="Times New Roman" w:cs="Times New Roman"/>
          <w:sz w:val="28"/>
          <w:szCs w:val="28"/>
        </w:rPr>
        <w:t>які видають довірчі сертифікати</w:t>
      </w:r>
      <w:r w:rsidRPr="00D112B6">
        <w:rPr>
          <w:rFonts w:ascii="Times New Roman" w:eastAsia="Times New Roman" w:hAnsi="Times New Roman" w:cs="Times New Roman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які </w:t>
      </w:r>
      <w:r w:rsidRPr="00496E54">
        <w:rPr>
          <w:rFonts w:ascii="Times New Roman" w:eastAsia="Times New Roman" w:hAnsi="Times New Roman" w:cs="Times New Roman"/>
          <w:bCs/>
          <w:sz w:val="28"/>
          <w:szCs w:val="28"/>
        </w:rPr>
        <w:t>прийнято як національн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і </w:t>
      </w:r>
      <w:r w:rsidRPr="00496E5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наказом державного підприємства “Український науково-дослідний і навчальний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496E54">
        <w:rPr>
          <w:rFonts w:ascii="Times New Roman" w:eastAsia="Times New Roman" w:hAnsi="Times New Roman" w:cs="Times New Roman"/>
          <w:bCs/>
          <w:sz w:val="28"/>
          <w:szCs w:val="28"/>
        </w:rPr>
        <w:t xml:space="preserve">центр проблем стандартизації, сертифікації та якості” від 16 грудня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2021 р. № 512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326603">
        <w:rPr>
          <w:rFonts w:ascii="Times New Roman" w:eastAsia="Times New Roman" w:hAnsi="Times New Roman" w:cs="Times New Roman"/>
          <w:bCs/>
          <w:sz w:val="28"/>
          <w:szCs w:val="28"/>
        </w:rPr>
        <w:t xml:space="preserve">(далі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‒</w:t>
      </w:r>
      <w:r w:rsidRPr="00326603">
        <w:rPr>
          <w:rFonts w:ascii="Times New Roman" w:eastAsia="Times New Roman" w:hAnsi="Times New Roman" w:cs="Times New Roman"/>
          <w:bCs/>
          <w:sz w:val="28"/>
          <w:szCs w:val="28"/>
        </w:rPr>
        <w:t xml:space="preserve"> ДСТУ ETSI EN 319 403-1:2021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ДСТУ </w:t>
      </w:r>
      <w:r w:rsidRPr="00D112B6">
        <w:rPr>
          <w:rFonts w:ascii="Times New Roman" w:eastAsia="Times New Roman" w:hAnsi="Times New Roman" w:cs="Times New Roman"/>
          <w:sz w:val="28"/>
          <w:szCs w:val="28"/>
        </w:rPr>
        <w:t>ETSI TS 119 403-2:2021</w:t>
      </w:r>
      <w:r w:rsidRPr="00326603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1708FF" w:rsidRPr="0076699B" w:rsidRDefault="001708FF" w:rsidP="001708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огляду на зазначене</w:t>
      </w:r>
      <w:r w:rsidRPr="0076699B">
        <w:rPr>
          <w:rFonts w:ascii="Times New Roman" w:hAnsi="Times New Roman" w:cs="Times New Roman"/>
          <w:sz w:val="28"/>
          <w:szCs w:val="28"/>
        </w:rPr>
        <w:t xml:space="preserve"> удосконалення потребує Порядок проведення процедури оцінки відповідності у сфері електронних довірчих послуг, затверджений постановою Кабінету Міністрів України від 18 грудня 2018 р.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6699B">
        <w:rPr>
          <w:rFonts w:ascii="Times New Roman" w:hAnsi="Times New Roman" w:cs="Times New Roman"/>
          <w:sz w:val="28"/>
          <w:szCs w:val="28"/>
        </w:rPr>
        <w:t>1215.</w:t>
      </w:r>
    </w:p>
    <w:p w:rsidR="001708FF" w:rsidRPr="0076699B" w:rsidRDefault="001708FF" w:rsidP="001708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з</w:t>
      </w:r>
      <w:r w:rsidRPr="0076699B">
        <w:rPr>
          <w:rFonts w:ascii="Times New Roman" w:hAnsi="Times New Roman" w:cs="Times New Roman"/>
          <w:sz w:val="28"/>
          <w:szCs w:val="28"/>
        </w:rPr>
        <w:t>азначений Порядок встановлює механізм проведення процедури оцінки відповідності, що також базується на національному стандарті в сфері електронних довірчих послуг, гармонізованому з відповідним стандартом Європейського Союзу, який замінено новим стандартом.</w:t>
      </w:r>
    </w:p>
    <w:p w:rsidR="001708FF" w:rsidRPr="0076699B" w:rsidRDefault="001708FF" w:rsidP="001708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99B">
        <w:rPr>
          <w:rFonts w:ascii="Times New Roman" w:hAnsi="Times New Roman" w:cs="Times New Roman"/>
          <w:sz w:val="28"/>
          <w:szCs w:val="28"/>
        </w:rPr>
        <w:lastRenderedPageBreak/>
        <w:t>Крім того, окремі положення Порядку проведення процедури оцінки відповідності у сфері електронних довірчих послуг, затверджен</w:t>
      </w:r>
      <w:r w:rsidR="00B32D5A">
        <w:rPr>
          <w:rFonts w:ascii="Times New Roman" w:hAnsi="Times New Roman" w:cs="Times New Roman"/>
          <w:sz w:val="28"/>
          <w:szCs w:val="28"/>
        </w:rPr>
        <w:t>ого</w:t>
      </w:r>
      <w:r w:rsidRPr="0076699B">
        <w:rPr>
          <w:rFonts w:ascii="Times New Roman" w:hAnsi="Times New Roman" w:cs="Times New Roman"/>
          <w:sz w:val="28"/>
          <w:szCs w:val="28"/>
        </w:rPr>
        <w:t xml:space="preserve"> постановою Кабінету Міністрів України від 18 грудня 2018 р. № 1215, необхідно переглянути з метою </w:t>
      </w:r>
      <w:bookmarkStart w:id="0" w:name="_Hlk117018395"/>
      <w:r w:rsidRPr="0076699B">
        <w:rPr>
          <w:rFonts w:ascii="Times New Roman" w:hAnsi="Times New Roman" w:cs="Times New Roman"/>
          <w:sz w:val="28"/>
          <w:szCs w:val="28"/>
        </w:rPr>
        <w:t>удосконалення механізму проведення процедури оцінки відповідності у сфері електронних довірчих послуг</w:t>
      </w:r>
      <w:bookmarkEnd w:id="0"/>
      <w:r w:rsidRPr="0076699B">
        <w:rPr>
          <w:rFonts w:ascii="Times New Roman" w:hAnsi="Times New Roman" w:cs="Times New Roman"/>
          <w:sz w:val="28"/>
          <w:szCs w:val="28"/>
        </w:rPr>
        <w:t>.</w:t>
      </w:r>
    </w:p>
    <w:p w:rsidR="001708FF" w:rsidRPr="0076699B" w:rsidRDefault="001708FF" w:rsidP="001708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99B">
        <w:rPr>
          <w:rFonts w:ascii="Times New Roman" w:hAnsi="Times New Roman" w:cs="Times New Roman"/>
          <w:sz w:val="28"/>
          <w:szCs w:val="28"/>
        </w:rPr>
        <w:t>З огляду на зазначене регуляторний акт поширюватиметься на надавачів електронних довірчих послуг та органи з оцінки відповідності у сфері електронних довірчих послуг.</w:t>
      </w:r>
    </w:p>
    <w:p w:rsidR="001708FF" w:rsidRPr="0076699B" w:rsidRDefault="001708FF" w:rsidP="001708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99B">
        <w:rPr>
          <w:rFonts w:ascii="Times New Roman" w:hAnsi="Times New Roman" w:cs="Times New Roman"/>
          <w:sz w:val="28"/>
          <w:szCs w:val="28"/>
        </w:rPr>
        <w:t xml:space="preserve">Наразі в Україні функціонують 19 кваліфікованих надавачів електронних довірчих послуг, відомості про яких </w:t>
      </w:r>
      <w:proofErr w:type="spellStart"/>
      <w:r w:rsidRPr="0076699B">
        <w:rPr>
          <w:rFonts w:ascii="Times New Roman" w:hAnsi="Times New Roman" w:cs="Times New Roman"/>
          <w:sz w:val="28"/>
          <w:szCs w:val="28"/>
        </w:rPr>
        <w:t>внесено</w:t>
      </w:r>
      <w:proofErr w:type="spellEnd"/>
      <w:r w:rsidRPr="0076699B">
        <w:rPr>
          <w:rFonts w:ascii="Times New Roman" w:hAnsi="Times New Roman" w:cs="Times New Roman"/>
          <w:sz w:val="28"/>
          <w:szCs w:val="28"/>
        </w:rPr>
        <w:t xml:space="preserve"> до Довірчого списку. З них 1</w:t>
      </w:r>
      <w:r w:rsidR="004B0E91">
        <w:rPr>
          <w:rFonts w:ascii="Times New Roman" w:hAnsi="Times New Roman" w:cs="Times New Roman"/>
          <w:sz w:val="28"/>
          <w:szCs w:val="28"/>
        </w:rPr>
        <w:t>3</w:t>
      </w:r>
      <w:r w:rsidRPr="0076699B">
        <w:rPr>
          <w:rFonts w:ascii="Times New Roman" w:hAnsi="Times New Roman" w:cs="Times New Roman"/>
          <w:sz w:val="28"/>
          <w:szCs w:val="28"/>
        </w:rPr>
        <w:t xml:space="preserve"> кваліфікованих надавачів електронних довірчих послуг є суб’єктами господарювання.</w:t>
      </w:r>
    </w:p>
    <w:p w:rsidR="001708FF" w:rsidRDefault="001708FF" w:rsidP="001708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99B">
        <w:rPr>
          <w:rFonts w:ascii="Times New Roman" w:hAnsi="Times New Roman" w:cs="Times New Roman"/>
          <w:sz w:val="28"/>
          <w:szCs w:val="28"/>
        </w:rPr>
        <w:t>Водночас слід зауважити, що станом на сьогодні в Україні не здійснюється оцінка відповідності у сфері електронних довірчих послуг з огляду на те, що жодного органу з оцінки відповідності у сфері електронних довірчих послуг не акредитовано відповідно до законодавства у сфері акредитації. Натомість Адміністрацією Державної служби спеціального зв’язку та захисту інформації України проводяться заходи державного нагляду (контролю) за дотриманням вимог законодавства у сфері електронних довірчих послуг відповідно до вимог Закону України «Про основні засади державного нагляду (контролю) у сфері господарської діяльності» та Порядку перевірки дотримання вимог законодавства у сфері електронних довірчих послуг, затвердженого постановою Кабінету Міністрів України від 7 листопада 2018 р. № 992.</w:t>
      </w:r>
    </w:p>
    <w:p w:rsidR="007F08C0" w:rsidRPr="00EA3C21" w:rsidRDefault="007F08C0" w:rsidP="007F08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Так, </w:t>
      </w:r>
      <w:r w:rsidRPr="00496E5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прийняття </w:t>
      </w:r>
      <w:proofErr w:type="spellStart"/>
      <w:r w:rsidRPr="00496E54">
        <w:rPr>
          <w:rFonts w:ascii="Times New Roman" w:eastAsia="Times New Roman" w:hAnsi="Times New Roman" w:cs="Times New Roman"/>
          <w:bCs/>
          <w:sz w:val="28"/>
          <w:szCs w:val="28"/>
        </w:rPr>
        <w:t>акта</w:t>
      </w:r>
      <w:proofErr w:type="spellEnd"/>
      <w:r w:rsidRPr="00496E5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спрямоване на </w:t>
      </w:r>
      <w:r w:rsidRPr="00EA3C21">
        <w:rPr>
          <w:rFonts w:ascii="Times New Roman" w:hAnsi="Times New Roman" w:cs="Times New Roman"/>
          <w:sz w:val="28"/>
          <w:szCs w:val="28"/>
        </w:rPr>
        <w:t>покращення якості надання електронних довірчих послуг</w:t>
      </w:r>
      <w:r>
        <w:rPr>
          <w:rFonts w:ascii="Times New Roman" w:hAnsi="Times New Roman" w:cs="Times New Roman"/>
          <w:sz w:val="28"/>
          <w:szCs w:val="28"/>
        </w:rPr>
        <w:t xml:space="preserve">, надає кваліфікованим надавачам електронних довірчих послуг альтернативну можливість в отриманні дозвільних документів </w:t>
      </w:r>
      <w:r w:rsidRPr="00731F9A">
        <w:rPr>
          <w:rFonts w:ascii="Times New Roman" w:eastAsia="Times New Roman" w:hAnsi="Times New Roman" w:cs="Times New Roman"/>
          <w:bCs/>
          <w:sz w:val="28"/>
          <w:szCs w:val="28"/>
        </w:rPr>
        <w:t>у сф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ері електронних довірчих послуг та передбачає добровільність цих процедур.</w:t>
      </w:r>
    </w:p>
    <w:p w:rsidR="001708FF" w:rsidRPr="0076699B" w:rsidRDefault="001708FF" w:rsidP="001708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99B">
        <w:rPr>
          <w:rFonts w:ascii="Times New Roman" w:hAnsi="Times New Roman" w:cs="Times New Roman"/>
          <w:sz w:val="28"/>
          <w:szCs w:val="28"/>
        </w:rPr>
        <w:t>Враховуючи викладене, регуляторний акт матиме регуляторний вплив на 1</w:t>
      </w:r>
      <w:r w:rsidR="004B0E91">
        <w:rPr>
          <w:rFonts w:ascii="Times New Roman" w:hAnsi="Times New Roman" w:cs="Times New Roman"/>
          <w:sz w:val="28"/>
          <w:szCs w:val="28"/>
        </w:rPr>
        <w:t>3</w:t>
      </w:r>
      <w:r w:rsidRPr="0076699B">
        <w:rPr>
          <w:rFonts w:ascii="Times New Roman" w:hAnsi="Times New Roman" w:cs="Times New Roman"/>
          <w:sz w:val="28"/>
          <w:szCs w:val="28"/>
        </w:rPr>
        <w:t xml:space="preserve"> кваліфікованих надавачів електронних довірчих послуг, що є суб’єктами господарювання.</w:t>
      </w:r>
    </w:p>
    <w:p w:rsidR="001708FF" w:rsidRPr="0076699B" w:rsidRDefault="001708FF" w:rsidP="001708F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699B">
        <w:rPr>
          <w:rFonts w:ascii="Times New Roman" w:hAnsi="Times New Roman" w:cs="Times New Roman"/>
          <w:sz w:val="28"/>
          <w:szCs w:val="28"/>
        </w:rPr>
        <w:t xml:space="preserve">Основною причиною виникнення проблеми, на вирішення якої спрямований регуляторний акт, є потреба в подальшому розвитку сфери електронних довірчих послуг, зокрема шляхом </w:t>
      </w:r>
      <w:r w:rsidRPr="0076699B">
        <w:rPr>
          <w:rFonts w:ascii="Times New Roman" w:hAnsi="Times New Roman" w:cs="Times New Roman"/>
          <w:color w:val="000000"/>
          <w:sz w:val="28"/>
          <w:szCs w:val="28"/>
        </w:rPr>
        <w:t>наближення до законодавства та стандартів Європейського Союзу в сфері електронних довірчих послуг.</w:t>
      </w:r>
    </w:p>
    <w:p w:rsidR="00DB7902" w:rsidRPr="0076699B" w:rsidRDefault="00DB7902" w:rsidP="0098739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7902" w:rsidRPr="0076699B" w:rsidRDefault="00DB7902" w:rsidP="0098739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69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Основні групи (підгрупи), на які проблема справляє вплив: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2747"/>
        <w:gridCol w:w="2747"/>
      </w:tblGrid>
      <w:tr w:rsidR="00DB7902" w:rsidRPr="0076699B" w:rsidTr="00215A47">
        <w:tc>
          <w:tcPr>
            <w:tcW w:w="4360" w:type="dxa"/>
            <w:shd w:val="clear" w:color="auto" w:fill="auto"/>
          </w:tcPr>
          <w:p w:rsidR="00DB7902" w:rsidRPr="0076699B" w:rsidRDefault="00DB7902" w:rsidP="0098739E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6699B">
              <w:rPr>
                <w:b/>
                <w:color w:val="000000"/>
              </w:rPr>
              <w:t>Групи (підгрупи)</w:t>
            </w:r>
          </w:p>
        </w:tc>
        <w:tc>
          <w:tcPr>
            <w:tcW w:w="2747" w:type="dxa"/>
            <w:shd w:val="clear" w:color="auto" w:fill="auto"/>
          </w:tcPr>
          <w:p w:rsidR="00DB7902" w:rsidRPr="0076699B" w:rsidRDefault="00DB7902" w:rsidP="0098739E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6699B">
              <w:rPr>
                <w:b/>
                <w:color w:val="000000"/>
              </w:rPr>
              <w:t>Так</w:t>
            </w:r>
          </w:p>
        </w:tc>
        <w:tc>
          <w:tcPr>
            <w:tcW w:w="2747" w:type="dxa"/>
            <w:shd w:val="clear" w:color="auto" w:fill="auto"/>
          </w:tcPr>
          <w:p w:rsidR="00DB7902" w:rsidRPr="0076699B" w:rsidRDefault="00DB7902" w:rsidP="0098739E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6699B">
              <w:rPr>
                <w:b/>
                <w:color w:val="000000"/>
              </w:rPr>
              <w:t>Ні</w:t>
            </w:r>
          </w:p>
        </w:tc>
      </w:tr>
      <w:tr w:rsidR="00DB7902" w:rsidRPr="0076699B" w:rsidTr="00215A47">
        <w:tc>
          <w:tcPr>
            <w:tcW w:w="4360" w:type="dxa"/>
            <w:shd w:val="clear" w:color="auto" w:fill="auto"/>
          </w:tcPr>
          <w:p w:rsidR="00DB7902" w:rsidRPr="0076699B" w:rsidRDefault="00DB7902" w:rsidP="0098739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76699B">
              <w:rPr>
                <w:color w:val="000000"/>
              </w:rPr>
              <w:t>Громадяни</w:t>
            </w:r>
          </w:p>
        </w:tc>
        <w:tc>
          <w:tcPr>
            <w:tcW w:w="2747" w:type="dxa"/>
            <w:shd w:val="clear" w:color="auto" w:fill="auto"/>
          </w:tcPr>
          <w:p w:rsidR="00DB7902" w:rsidRPr="0076699B" w:rsidRDefault="00DB7902" w:rsidP="0098739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47" w:type="dxa"/>
            <w:shd w:val="clear" w:color="auto" w:fill="auto"/>
          </w:tcPr>
          <w:p w:rsidR="00DB7902" w:rsidRPr="0076699B" w:rsidRDefault="00DB7902" w:rsidP="0098739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76699B">
              <w:rPr>
                <w:color w:val="000000"/>
              </w:rPr>
              <w:t>-</w:t>
            </w:r>
          </w:p>
        </w:tc>
      </w:tr>
      <w:tr w:rsidR="00DB7902" w:rsidRPr="0076699B" w:rsidTr="00215A47">
        <w:tc>
          <w:tcPr>
            <w:tcW w:w="4360" w:type="dxa"/>
            <w:shd w:val="clear" w:color="auto" w:fill="auto"/>
          </w:tcPr>
          <w:p w:rsidR="00DB7902" w:rsidRPr="0076699B" w:rsidRDefault="00DB7902" w:rsidP="0098739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76699B">
              <w:rPr>
                <w:color w:val="000000"/>
              </w:rPr>
              <w:t>Держава</w:t>
            </w:r>
          </w:p>
        </w:tc>
        <w:tc>
          <w:tcPr>
            <w:tcW w:w="2747" w:type="dxa"/>
            <w:shd w:val="clear" w:color="auto" w:fill="auto"/>
          </w:tcPr>
          <w:p w:rsidR="00DB7902" w:rsidRPr="0076699B" w:rsidRDefault="00DB7902" w:rsidP="0098739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747" w:type="dxa"/>
            <w:shd w:val="clear" w:color="auto" w:fill="auto"/>
          </w:tcPr>
          <w:p w:rsidR="00DB7902" w:rsidRPr="0076699B" w:rsidRDefault="00DB7902" w:rsidP="0098739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76699B">
              <w:rPr>
                <w:color w:val="000000"/>
              </w:rPr>
              <w:t>-</w:t>
            </w:r>
          </w:p>
        </w:tc>
      </w:tr>
      <w:tr w:rsidR="00DB7902" w:rsidRPr="0076699B" w:rsidTr="00215A47">
        <w:tc>
          <w:tcPr>
            <w:tcW w:w="4360" w:type="dxa"/>
            <w:shd w:val="clear" w:color="auto" w:fill="auto"/>
          </w:tcPr>
          <w:p w:rsidR="00DB7902" w:rsidRPr="0076699B" w:rsidRDefault="00DB7902" w:rsidP="0098739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76699B">
              <w:rPr>
                <w:color w:val="000000"/>
              </w:rPr>
              <w:t>Суб’єкти господарювання</w:t>
            </w:r>
          </w:p>
        </w:tc>
        <w:tc>
          <w:tcPr>
            <w:tcW w:w="2747" w:type="dxa"/>
            <w:shd w:val="clear" w:color="auto" w:fill="auto"/>
          </w:tcPr>
          <w:p w:rsidR="00DB7902" w:rsidRPr="0076699B" w:rsidRDefault="00DB7902" w:rsidP="0098739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76699B">
              <w:rPr>
                <w:color w:val="000000"/>
              </w:rPr>
              <w:t>+</w:t>
            </w:r>
          </w:p>
        </w:tc>
        <w:tc>
          <w:tcPr>
            <w:tcW w:w="2747" w:type="dxa"/>
            <w:shd w:val="clear" w:color="auto" w:fill="auto"/>
          </w:tcPr>
          <w:p w:rsidR="00DB7902" w:rsidRPr="0076699B" w:rsidRDefault="00DB7902" w:rsidP="0098739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DB7902" w:rsidRPr="0076699B" w:rsidTr="00215A47">
        <w:trPr>
          <w:trHeight w:val="341"/>
        </w:trPr>
        <w:tc>
          <w:tcPr>
            <w:tcW w:w="4360" w:type="dxa"/>
            <w:shd w:val="clear" w:color="auto" w:fill="auto"/>
          </w:tcPr>
          <w:p w:rsidR="00DB7902" w:rsidRPr="0076699B" w:rsidRDefault="00DB7902" w:rsidP="0098739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76699B">
              <w:rPr>
                <w:color w:val="000000"/>
              </w:rPr>
              <w:t>у тому числі суб’єкти малого підприємництва</w:t>
            </w:r>
          </w:p>
        </w:tc>
        <w:tc>
          <w:tcPr>
            <w:tcW w:w="2747" w:type="dxa"/>
            <w:shd w:val="clear" w:color="auto" w:fill="auto"/>
          </w:tcPr>
          <w:p w:rsidR="00DB7902" w:rsidRPr="0076699B" w:rsidRDefault="00DB7902" w:rsidP="0098739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76699B">
              <w:rPr>
                <w:color w:val="000000"/>
              </w:rPr>
              <w:t>+</w:t>
            </w:r>
            <w:r w:rsidRPr="0076699B">
              <w:rPr>
                <w:color w:val="000000"/>
                <w:vertAlign w:val="superscript"/>
              </w:rPr>
              <w:t>1</w:t>
            </w:r>
          </w:p>
        </w:tc>
        <w:tc>
          <w:tcPr>
            <w:tcW w:w="2747" w:type="dxa"/>
            <w:shd w:val="clear" w:color="auto" w:fill="auto"/>
          </w:tcPr>
          <w:p w:rsidR="00DB7902" w:rsidRPr="0076699B" w:rsidRDefault="00DB7902" w:rsidP="0098739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</w:tbl>
    <w:p w:rsidR="001B6597" w:rsidRDefault="001B6597" w:rsidP="0098739E">
      <w:pPr>
        <w:pStyle w:val="3"/>
        <w:spacing w:before="0" w:beforeAutospacing="0" w:after="0" w:afterAutospacing="0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</w:p>
    <w:p w:rsidR="001B6597" w:rsidRDefault="001B6597" w:rsidP="0098739E">
      <w:pPr>
        <w:pStyle w:val="3"/>
        <w:spacing w:before="0" w:beforeAutospacing="0" w:after="0" w:afterAutospacing="0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</w:p>
    <w:p w:rsidR="00DB7902" w:rsidRPr="0076699B" w:rsidRDefault="00DB7902" w:rsidP="0098739E">
      <w:pPr>
        <w:pStyle w:val="3"/>
        <w:spacing w:before="0" w:beforeAutospacing="0" w:after="0" w:afterAutospacing="0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76699B">
        <w:rPr>
          <w:rFonts w:ascii="Times New Roman" w:hAnsi="Times New Roman"/>
          <w:color w:val="000000"/>
          <w:sz w:val="20"/>
          <w:szCs w:val="20"/>
          <w:lang w:val="uk-UA"/>
        </w:rPr>
        <w:lastRenderedPageBreak/>
        <w:t>_______________</w:t>
      </w:r>
    </w:p>
    <w:p w:rsidR="00DB7902" w:rsidRPr="0076699B" w:rsidRDefault="00DB7902" w:rsidP="0098739E">
      <w:pPr>
        <w:pStyle w:val="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76699B">
        <w:rPr>
          <w:rFonts w:ascii="Times New Roman" w:hAnsi="Times New Roman"/>
          <w:color w:val="000000"/>
          <w:sz w:val="20"/>
          <w:szCs w:val="20"/>
          <w:vertAlign w:val="superscript"/>
          <w:lang w:val="uk-UA"/>
        </w:rPr>
        <w:t>1</w:t>
      </w:r>
      <w:r w:rsidRPr="0076699B">
        <w:rPr>
          <w:rFonts w:ascii="Times New Roman" w:hAnsi="Times New Roman"/>
          <w:color w:val="000000"/>
          <w:sz w:val="20"/>
          <w:szCs w:val="20"/>
          <w:lang w:val="uk-UA"/>
        </w:rPr>
        <w:t xml:space="preserve"> Питома вага суб’єктів малого підприємництва у загальній кількості суб’єктів господарювання, на яких впливає проблема, перевищує 10%.</w:t>
      </w:r>
    </w:p>
    <w:p w:rsidR="00DB7902" w:rsidRPr="0076699B" w:rsidRDefault="00DB7902" w:rsidP="0098739E">
      <w:pPr>
        <w:pStyle w:val="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B7902" w:rsidRPr="0076699B" w:rsidRDefault="00DB7902" w:rsidP="0098739E">
      <w:pPr>
        <w:pStyle w:val="3"/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6699B">
        <w:rPr>
          <w:rFonts w:ascii="Times New Roman" w:hAnsi="Times New Roman"/>
          <w:b/>
          <w:color w:val="000000"/>
          <w:sz w:val="28"/>
          <w:szCs w:val="28"/>
          <w:lang w:val="uk-UA"/>
        </w:rPr>
        <w:t>II. Цілі державного регулювання</w:t>
      </w:r>
    </w:p>
    <w:p w:rsidR="00DB7902" w:rsidRDefault="00DB7902" w:rsidP="000E31A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699B">
        <w:rPr>
          <w:rFonts w:ascii="Times New Roman" w:hAnsi="Times New Roman" w:cs="Times New Roman"/>
          <w:color w:val="000000"/>
          <w:sz w:val="28"/>
          <w:szCs w:val="28"/>
        </w:rPr>
        <w:t xml:space="preserve">Метою прийняття регуляторного </w:t>
      </w:r>
      <w:proofErr w:type="spellStart"/>
      <w:r w:rsidRPr="0076699B">
        <w:rPr>
          <w:rFonts w:ascii="Times New Roman" w:hAnsi="Times New Roman" w:cs="Times New Roman"/>
          <w:color w:val="000000"/>
          <w:sz w:val="28"/>
          <w:szCs w:val="28"/>
        </w:rPr>
        <w:t>акта</w:t>
      </w:r>
      <w:proofErr w:type="spellEnd"/>
      <w:r w:rsidRPr="0076699B">
        <w:rPr>
          <w:rFonts w:ascii="Times New Roman" w:hAnsi="Times New Roman" w:cs="Times New Roman"/>
          <w:color w:val="000000"/>
          <w:sz w:val="28"/>
          <w:szCs w:val="28"/>
        </w:rPr>
        <w:t xml:space="preserve"> є </w:t>
      </w:r>
      <w:r w:rsidR="000E31AE" w:rsidRPr="000E31AE">
        <w:rPr>
          <w:rFonts w:ascii="Times New Roman" w:hAnsi="Times New Roman" w:cs="Times New Roman"/>
          <w:color w:val="000000"/>
          <w:sz w:val="28"/>
          <w:szCs w:val="28"/>
        </w:rPr>
        <w:t>гармонізаці</w:t>
      </w:r>
      <w:r w:rsidR="0046744E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="000E31AE" w:rsidRPr="000E31AE">
        <w:rPr>
          <w:rFonts w:ascii="Times New Roman" w:hAnsi="Times New Roman" w:cs="Times New Roman"/>
          <w:color w:val="000000"/>
          <w:sz w:val="28"/>
          <w:szCs w:val="28"/>
        </w:rPr>
        <w:t>національних стандартів у сфері оцінки відповідності з європейськими та міжнародними, а також уточнення правил проведення процедури оцінки відповідності вимогам до кваліфікованих надавачів електронних довірчих послуг та послуг, що ним надаються</w:t>
      </w:r>
      <w:r w:rsidR="000E31A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E31AE" w:rsidRPr="0076699B" w:rsidRDefault="000E31AE" w:rsidP="000E31A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7902" w:rsidRPr="0076699B" w:rsidRDefault="00DB7902" w:rsidP="0098739E">
      <w:pPr>
        <w:pStyle w:val="3"/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6699B">
        <w:rPr>
          <w:rFonts w:ascii="Times New Roman" w:hAnsi="Times New Roman"/>
          <w:b/>
          <w:color w:val="000000"/>
          <w:sz w:val="28"/>
          <w:szCs w:val="28"/>
          <w:lang w:val="uk-UA"/>
        </w:rPr>
        <w:t>III. Визначення та оцінка альтернативних способів досягнення цілей</w:t>
      </w:r>
    </w:p>
    <w:p w:rsidR="00DB7902" w:rsidRPr="0076699B" w:rsidRDefault="00DB7902" w:rsidP="0098739E">
      <w:pPr>
        <w:pStyle w:val="a5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76699B">
        <w:rPr>
          <w:b/>
          <w:color w:val="000000"/>
          <w:sz w:val="28"/>
          <w:szCs w:val="28"/>
        </w:rPr>
        <w:t>1. Визначення альтернативних способів</w:t>
      </w:r>
    </w:p>
    <w:p w:rsidR="00DB7902" w:rsidRPr="0076699B" w:rsidRDefault="00DB7902" w:rsidP="0098739E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699B">
        <w:rPr>
          <w:color w:val="000000"/>
          <w:sz w:val="28"/>
          <w:szCs w:val="28"/>
        </w:rPr>
        <w:t xml:space="preserve">Під час розробки регуляторного </w:t>
      </w:r>
      <w:proofErr w:type="spellStart"/>
      <w:r w:rsidRPr="0076699B">
        <w:rPr>
          <w:color w:val="000000"/>
          <w:sz w:val="28"/>
          <w:szCs w:val="28"/>
        </w:rPr>
        <w:t>акта</w:t>
      </w:r>
      <w:proofErr w:type="spellEnd"/>
      <w:r w:rsidRPr="0076699B">
        <w:rPr>
          <w:color w:val="000000"/>
          <w:sz w:val="28"/>
          <w:szCs w:val="28"/>
        </w:rPr>
        <w:t xml:space="preserve"> було розглянуто такі альтернативні способи досягнення визначених цілей державного регулювання: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618"/>
      </w:tblGrid>
      <w:tr w:rsidR="00DB7902" w:rsidRPr="0076699B" w:rsidTr="00215A47">
        <w:tc>
          <w:tcPr>
            <w:tcW w:w="2235" w:type="dxa"/>
            <w:shd w:val="clear" w:color="auto" w:fill="auto"/>
          </w:tcPr>
          <w:p w:rsidR="00DB7902" w:rsidRPr="0076699B" w:rsidRDefault="00DB7902" w:rsidP="0098739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6699B">
              <w:rPr>
                <w:rFonts w:ascii="Times New Roman" w:hAnsi="Times New Roman" w:cs="Times New Roman"/>
                <w:b/>
                <w:color w:val="000000"/>
              </w:rPr>
              <w:t>Вид альтернативи</w:t>
            </w:r>
          </w:p>
        </w:tc>
        <w:tc>
          <w:tcPr>
            <w:tcW w:w="7618" w:type="dxa"/>
            <w:shd w:val="clear" w:color="auto" w:fill="auto"/>
          </w:tcPr>
          <w:p w:rsidR="00DB7902" w:rsidRPr="0076699B" w:rsidRDefault="00DB7902" w:rsidP="0098739E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6699B">
              <w:rPr>
                <w:b/>
                <w:color w:val="000000"/>
              </w:rPr>
              <w:t>Опис альтернативи</w:t>
            </w:r>
          </w:p>
        </w:tc>
      </w:tr>
      <w:tr w:rsidR="00DB7902" w:rsidRPr="0076699B" w:rsidTr="00215A47">
        <w:tc>
          <w:tcPr>
            <w:tcW w:w="2235" w:type="dxa"/>
            <w:shd w:val="clear" w:color="auto" w:fill="auto"/>
          </w:tcPr>
          <w:p w:rsidR="00DB7902" w:rsidRPr="0076699B" w:rsidRDefault="00DB7902" w:rsidP="0098739E">
            <w:pPr>
              <w:rPr>
                <w:rFonts w:ascii="Times New Roman" w:hAnsi="Times New Roman" w:cs="Times New Roman"/>
                <w:color w:val="000000"/>
              </w:rPr>
            </w:pPr>
            <w:r w:rsidRPr="0076699B">
              <w:rPr>
                <w:rFonts w:ascii="Times New Roman" w:hAnsi="Times New Roman" w:cs="Times New Roman"/>
                <w:color w:val="000000"/>
              </w:rPr>
              <w:t>Альтернатива 1</w:t>
            </w:r>
          </w:p>
          <w:p w:rsidR="00DB7902" w:rsidRPr="0076699B" w:rsidRDefault="00DB7902" w:rsidP="0098739E">
            <w:pPr>
              <w:rPr>
                <w:rFonts w:ascii="Times New Roman" w:hAnsi="Times New Roman" w:cs="Times New Roman"/>
                <w:color w:val="000000"/>
              </w:rPr>
            </w:pPr>
            <w:r w:rsidRPr="0076699B">
              <w:rPr>
                <w:rFonts w:ascii="Times New Roman" w:hAnsi="Times New Roman" w:cs="Times New Roman"/>
                <w:color w:val="000000"/>
              </w:rPr>
              <w:t xml:space="preserve">Прийняття регуляторного </w:t>
            </w:r>
            <w:proofErr w:type="spellStart"/>
            <w:r w:rsidRPr="0076699B">
              <w:rPr>
                <w:rFonts w:ascii="Times New Roman" w:hAnsi="Times New Roman" w:cs="Times New Roman"/>
                <w:color w:val="000000"/>
              </w:rPr>
              <w:t>акта</w:t>
            </w:r>
            <w:proofErr w:type="spellEnd"/>
          </w:p>
        </w:tc>
        <w:tc>
          <w:tcPr>
            <w:tcW w:w="7618" w:type="dxa"/>
            <w:shd w:val="clear" w:color="auto" w:fill="auto"/>
          </w:tcPr>
          <w:p w:rsidR="00DB7902" w:rsidRPr="0076699B" w:rsidRDefault="00DB7902" w:rsidP="0098739E">
            <w:pPr>
              <w:pStyle w:val="a5"/>
              <w:spacing w:before="0" w:beforeAutospacing="0" w:after="0" w:afterAutospacing="0"/>
              <w:ind w:firstLine="459"/>
              <w:jc w:val="both"/>
              <w:rPr>
                <w:color w:val="000000"/>
              </w:rPr>
            </w:pPr>
            <w:r w:rsidRPr="0076699B">
              <w:rPr>
                <w:color w:val="000000"/>
              </w:rPr>
              <w:t xml:space="preserve">Прийняття регуляторного </w:t>
            </w:r>
            <w:proofErr w:type="spellStart"/>
            <w:r w:rsidRPr="0076699B">
              <w:rPr>
                <w:color w:val="000000"/>
              </w:rPr>
              <w:t>акта</w:t>
            </w:r>
            <w:proofErr w:type="spellEnd"/>
            <w:r w:rsidRPr="0076699B">
              <w:rPr>
                <w:color w:val="000000"/>
              </w:rPr>
              <w:t xml:space="preserve"> забезпечить подальший розвиток сфери електронних довірчих послуг шляхом:</w:t>
            </w:r>
          </w:p>
          <w:p w:rsidR="00DB7902" w:rsidRPr="0076699B" w:rsidRDefault="007645ED" w:rsidP="007645ED">
            <w:pPr>
              <w:pStyle w:val="a5"/>
              <w:spacing w:before="0" w:beforeAutospacing="0" w:after="0" w:afterAutospacing="0"/>
              <w:ind w:firstLine="459"/>
              <w:jc w:val="both"/>
              <w:rPr>
                <w:color w:val="000000"/>
              </w:rPr>
            </w:pPr>
            <w:r w:rsidRPr="007645ED">
              <w:rPr>
                <w:color w:val="000000"/>
              </w:rPr>
              <w:t>гармонізації національних стандартів у сфері оцінки відповідності з європейськими та міжнародними</w:t>
            </w:r>
            <w:r w:rsidR="00DB7902" w:rsidRPr="0076699B">
              <w:rPr>
                <w:color w:val="000000"/>
              </w:rPr>
              <w:t>;</w:t>
            </w:r>
          </w:p>
          <w:p w:rsidR="00DB7902" w:rsidRPr="0076699B" w:rsidRDefault="00DB7902" w:rsidP="0098739E">
            <w:pPr>
              <w:pStyle w:val="a5"/>
              <w:spacing w:before="0" w:beforeAutospacing="0" w:after="0" w:afterAutospacing="0"/>
              <w:ind w:firstLine="459"/>
              <w:jc w:val="both"/>
              <w:rPr>
                <w:color w:val="000000"/>
              </w:rPr>
            </w:pPr>
            <w:r w:rsidRPr="0076699B">
              <w:rPr>
                <w:color w:val="000000"/>
              </w:rPr>
              <w:t>удосконалення механізму проведення процедури оцінки відповідності вимогам до кваліфікованих надавачів електронних довірчих послуг та послуг, що ними надаються, встановленого Порядком проведення процедури оцінки відповідності у сфері електронних довірчих послуг, затвердженим постановою Кабінету Міністрів України від 18 грудня 2018 р. № 1215</w:t>
            </w:r>
          </w:p>
        </w:tc>
      </w:tr>
      <w:tr w:rsidR="00DB7902" w:rsidRPr="0076699B" w:rsidTr="00215A47">
        <w:tc>
          <w:tcPr>
            <w:tcW w:w="2235" w:type="dxa"/>
            <w:shd w:val="clear" w:color="auto" w:fill="auto"/>
          </w:tcPr>
          <w:p w:rsidR="00DB7902" w:rsidRPr="0076699B" w:rsidRDefault="00DB7902" w:rsidP="009873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699B">
              <w:rPr>
                <w:rFonts w:ascii="Times New Roman" w:hAnsi="Times New Roman" w:cs="Times New Roman"/>
                <w:color w:val="000000"/>
              </w:rPr>
              <w:t>Альтернатива 2</w:t>
            </w:r>
          </w:p>
          <w:p w:rsidR="00DB7902" w:rsidRPr="0076699B" w:rsidRDefault="00DB7902" w:rsidP="009873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699B">
              <w:rPr>
                <w:rFonts w:ascii="Times New Roman" w:hAnsi="Times New Roman" w:cs="Times New Roman"/>
                <w:color w:val="000000"/>
              </w:rPr>
              <w:t>Відсутність регулювання</w:t>
            </w:r>
          </w:p>
        </w:tc>
        <w:tc>
          <w:tcPr>
            <w:tcW w:w="7618" w:type="dxa"/>
            <w:shd w:val="clear" w:color="auto" w:fill="auto"/>
          </w:tcPr>
          <w:p w:rsidR="00DB7902" w:rsidRDefault="00DB7902" w:rsidP="0098739E">
            <w:pPr>
              <w:pStyle w:val="a5"/>
              <w:spacing w:before="0" w:beforeAutospacing="0" w:after="0" w:afterAutospacing="0"/>
              <w:ind w:firstLine="459"/>
              <w:jc w:val="both"/>
              <w:rPr>
                <w:color w:val="000000"/>
              </w:rPr>
            </w:pPr>
            <w:r w:rsidRPr="0076699B">
              <w:rPr>
                <w:color w:val="000000"/>
              </w:rPr>
              <w:t>Відсутність регулювання передбачає залишення існуючого стану справ</w:t>
            </w:r>
            <w:r w:rsidR="0043198D">
              <w:rPr>
                <w:color w:val="000000"/>
              </w:rPr>
              <w:t>:</w:t>
            </w:r>
          </w:p>
          <w:p w:rsidR="0043198D" w:rsidRDefault="00923ADE" w:rsidP="0098739E">
            <w:pPr>
              <w:pStyle w:val="a5"/>
              <w:spacing w:before="0" w:beforeAutospacing="0" w:after="0" w:afterAutospacing="0"/>
              <w:ind w:firstLine="45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дотримання </w:t>
            </w:r>
            <w:r w:rsidR="0043198D">
              <w:rPr>
                <w:color w:val="000000"/>
              </w:rPr>
              <w:t xml:space="preserve">не чинних стандартів під час </w:t>
            </w:r>
            <w:r w:rsidR="0043198D" w:rsidRPr="0076699B">
              <w:rPr>
                <w:color w:val="000000"/>
              </w:rPr>
              <w:t>проведення процедури оцінки відповідності вимогам до кваліфікованих надавачів електронних довірчих послуг та послуг, що ними надаються</w:t>
            </w:r>
            <w:r w:rsidR="0043198D">
              <w:rPr>
                <w:color w:val="000000"/>
              </w:rPr>
              <w:t>;</w:t>
            </w:r>
          </w:p>
          <w:p w:rsidR="00923ADE" w:rsidRDefault="00F3500A" w:rsidP="0098739E">
            <w:pPr>
              <w:pStyle w:val="a5"/>
              <w:spacing w:before="0" w:beforeAutospacing="0" w:after="0" w:afterAutospacing="0"/>
              <w:ind w:firstLine="45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відсутність можливості проходження </w:t>
            </w:r>
            <w:r w:rsidRPr="00F3500A">
              <w:rPr>
                <w:color w:val="000000"/>
              </w:rPr>
              <w:t>процедури оцінки відповідності вимогам до кваліфікованих надавачів електронних довірчих послуг та послуг, що ними надаються в іноземному органі з оцінки відповідності</w:t>
            </w:r>
          </w:p>
          <w:p w:rsidR="0043198D" w:rsidRPr="0076699B" w:rsidRDefault="0043198D" w:rsidP="00923ADE">
            <w:pPr>
              <w:pStyle w:val="a5"/>
              <w:spacing w:before="0" w:beforeAutospacing="0" w:after="0" w:afterAutospacing="0"/>
              <w:ind w:firstLine="459"/>
              <w:jc w:val="both"/>
              <w:rPr>
                <w:color w:val="000000"/>
              </w:rPr>
            </w:pPr>
          </w:p>
        </w:tc>
      </w:tr>
    </w:tbl>
    <w:p w:rsidR="00DB7902" w:rsidRPr="0076699B" w:rsidRDefault="00DB7902" w:rsidP="0098739E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DB7902" w:rsidRPr="0076699B" w:rsidRDefault="00DB7902" w:rsidP="0098739E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6699B">
        <w:rPr>
          <w:b/>
          <w:color w:val="000000"/>
          <w:sz w:val="28"/>
          <w:szCs w:val="28"/>
        </w:rPr>
        <w:t>2. Оцінка вибраних альтернативних способів досягнення цілей</w:t>
      </w:r>
    </w:p>
    <w:p w:rsidR="00DB7902" w:rsidRPr="0076699B" w:rsidRDefault="00DB7902" w:rsidP="0098739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69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Оцінка впливу на сферу інтересів держави</w:t>
      </w:r>
    </w:p>
    <w:p w:rsidR="00DB7902" w:rsidRPr="0076699B" w:rsidRDefault="00DB7902" w:rsidP="0098739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699B">
        <w:rPr>
          <w:rFonts w:ascii="Times New Roman" w:hAnsi="Times New Roman" w:cs="Times New Roman"/>
          <w:color w:val="000000"/>
          <w:sz w:val="28"/>
          <w:szCs w:val="28"/>
        </w:rPr>
        <w:t xml:space="preserve">Оцінка впливу регуляторного </w:t>
      </w:r>
      <w:proofErr w:type="spellStart"/>
      <w:r w:rsidRPr="0076699B">
        <w:rPr>
          <w:rFonts w:ascii="Times New Roman" w:hAnsi="Times New Roman" w:cs="Times New Roman"/>
          <w:color w:val="000000"/>
          <w:sz w:val="28"/>
          <w:szCs w:val="28"/>
        </w:rPr>
        <w:t>акта</w:t>
      </w:r>
      <w:proofErr w:type="spellEnd"/>
      <w:r w:rsidRPr="0076699B">
        <w:rPr>
          <w:rFonts w:ascii="Times New Roman" w:hAnsi="Times New Roman" w:cs="Times New Roman"/>
          <w:color w:val="000000"/>
          <w:sz w:val="28"/>
          <w:szCs w:val="28"/>
        </w:rPr>
        <w:t xml:space="preserve"> на сферу інтересів держави не здійснювалася, оскільки такий вплив відсутній.</w:t>
      </w:r>
    </w:p>
    <w:p w:rsidR="00D1265C" w:rsidRPr="0076699B" w:rsidRDefault="00D1265C" w:rsidP="0098739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B7902" w:rsidRPr="0076699B" w:rsidRDefault="00DB7902" w:rsidP="0098739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69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Оцінка впливу на сферу інтересів громадян</w:t>
      </w:r>
    </w:p>
    <w:p w:rsidR="00DB7902" w:rsidRDefault="00DB7902" w:rsidP="0098739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699B">
        <w:rPr>
          <w:rFonts w:ascii="Times New Roman" w:hAnsi="Times New Roman" w:cs="Times New Roman"/>
          <w:color w:val="000000"/>
          <w:sz w:val="28"/>
          <w:szCs w:val="28"/>
        </w:rPr>
        <w:t xml:space="preserve">Оцінка впливу регуляторного </w:t>
      </w:r>
      <w:proofErr w:type="spellStart"/>
      <w:r w:rsidRPr="0076699B">
        <w:rPr>
          <w:rFonts w:ascii="Times New Roman" w:hAnsi="Times New Roman" w:cs="Times New Roman"/>
          <w:color w:val="000000"/>
          <w:sz w:val="28"/>
          <w:szCs w:val="28"/>
        </w:rPr>
        <w:t>акта</w:t>
      </w:r>
      <w:proofErr w:type="spellEnd"/>
      <w:r w:rsidRPr="0076699B">
        <w:rPr>
          <w:rFonts w:ascii="Times New Roman" w:hAnsi="Times New Roman" w:cs="Times New Roman"/>
          <w:color w:val="000000"/>
          <w:sz w:val="28"/>
          <w:szCs w:val="28"/>
        </w:rPr>
        <w:t xml:space="preserve"> на сферу інтересів громадян не здійснювалася, оскільки такий вплив відсутній.</w:t>
      </w:r>
    </w:p>
    <w:p w:rsidR="001B6597" w:rsidRDefault="001B6597" w:rsidP="0098739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6597" w:rsidRPr="0076699B" w:rsidRDefault="001B6597" w:rsidP="0098739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7902" w:rsidRPr="0076699B" w:rsidRDefault="00DB7902" w:rsidP="0098739E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B7902" w:rsidRPr="0076699B" w:rsidRDefault="00DB7902" w:rsidP="0098739E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76699B">
        <w:rPr>
          <w:b/>
          <w:bCs/>
          <w:color w:val="000000"/>
          <w:sz w:val="28"/>
          <w:szCs w:val="28"/>
        </w:rPr>
        <w:t>Оцінка впливу на сферу інтересів суб’єктів господарювання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993"/>
        <w:gridCol w:w="1134"/>
        <w:gridCol w:w="1134"/>
        <w:gridCol w:w="1275"/>
        <w:gridCol w:w="1240"/>
      </w:tblGrid>
      <w:tr w:rsidR="00DB7902" w:rsidRPr="0076699B" w:rsidTr="00215A47">
        <w:tc>
          <w:tcPr>
            <w:tcW w:w="4077" w:type="dxa"/>
            <w:shd w:val="clear" w:color="auto" w:fill="auto"/>
          </w:tcPr>
          <w:p w:rsidR="00DB7902" w:rsidRPr="0076699B" w:rsidRDefault="00DB7902" w:rsidP="009873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6699B">
              <w:rPr>
                <w:rFonts w:ascii="Times New Roman" w:hAnsi="Times New Roman" w:cs="Times New Roman"/>
                <w:b/>
                <w:bCs/>
                <w:color w:val="000000"/>
              </w:rPr>
              <w:t>Показник</w:t>
            </w:r>
          </w:p>
        </w:tc>
        <w:tc>
          <w:tcPr>
            <w:tcW w:w="993" w:type="dxa"/>
            <w:shd w:val="clear" w:color="auto" w:fill="auto"/>
          </w:tcPr>
          <w:p w:rsidR="00DB7902" w:rsidRPr="0076699B" w:rsidRDefault="00DB7902" w:rsidP="009873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6699B">
              <w:rPr>
                <w:rFonts w:ascii="Times New Roman" w:hAnsi="Times New Roman" w:cs="Times New Roman"/>
                <w:b/>
                <w:bCs/>
                <w:color w:val="000000"/>
              </w:rPr>
              <w:t>Великі</w:t>
            </w:r>
          </w:p>
        </w:tc>
        <w:tc>
          <w:tcPr>
            <w:tcW w:w="1134" w:type="dxa"/>
            <w:shd w:val="clear" w:color="auto" w:fill="auto"/>
          </w:tcPr>
          <w:p w:rsidR="00DB7902" w:rsidRPr="0076699B" w:rsidRDefault="00DB7902" w:rsidP="009873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6699B">
              <w:rPr>
                <w:rFonts w:ascii="Times New Roman" w:hAnsi="Times New Roman" w:cs="Times New Roman"/>
                <w:b/>
                <w:bCs/>
                <w:color w:val="000000"/>
              </w:rPr>
              <w:t>Середні</w:t>
            </w:r>
          </w:p>
        </w:tc>
        <w:tc>
          <w:tcPr>
            <w:tcW w:w="1134" w:type="dxa"/>
            <w:shd w:val="clear" w:color="auto" w:fill="auto"/>
          </w:tcPr>
          <w:p w:rsidR="00DB7902" w:rsidRPr="0076699B" w:rsidRDefault="00DB7902" w:rsidP="009873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6699B">
              <w:rPr>
                <w:rFonts w:ascii="Times New Roman" w:hAnsi="Times New Roman" w:cs="Times New Roman"/>
                <w:b/>
                <w:bCs/>
                <w:color w:val="000000"/>
              </w:rPr>
              <w:t>Малі</w:t>
            </w:r>
          </w:p>
        </w:tc>
        <w:tc>
          <w:tcPr>
            <w:tcW w:w="1275" w:type="dxa"/>
            <w:shd w:val="clear" w:color="auto" w:fill="auto"/>
          </w:tcPr>
          <w:p w:rsidR="00DB7902" w:rsidRPr="0076699B" w:rsidRDefault="00DB7902" w:rsidP="009873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6699B">
              <w:rPr>
                <w:rFonts w:ascii="Times New Roman" w:hAnsi="Times New Roman" w:cs="Times New Roman"/>
                <w:b/>
                <w:bCs/>
                <w:color w:val="000000"/>
              </w:rPr>
              <w:t>Мікро</w:t>
            </w:r>
          </w:p>
        </w:tc>
        <w:tc>
          <w:tcPr>
            <w:tcW w:w="1240" w:type="dxa"/>
            <w:shd w:val="clear" w:color="auto" w:fill="auto"/>
          </w:tcPr>
          <w:p w:rsidR="00DB7902" w:rsidRPr="0076699B" w:rsidRDefault="00DB7902" w:rsidP="009873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6699B">
              <w:rPr>
                <w:rFonts w:ascii="Times New Roman" w:hAnsi="Times New Roman" w:cs="Times New Roman"/>
                <w:b/>
                <w:bCs/>
                <w:color w:val="000000"/>
              </w:rPr>
              <w:t>Разом</w:t>
            </w:r>
          </w:p>
        </w:tc>
      </w:tr>
      <w:tr w:rsidR="00DB7902" w:rsidRPr="0076699B" w:rsidTr="00215A47">
        <w:tc>
          <w:tcPr>
            <w:tcW w:w="4077" w:type="dxa"/>
            <w:shd w:val="clear" w:color="auto" w:fill="auto"/>
          </w:tcPr>
          <w:p w:rsidR="00DB7902" w:rsidRPr="0076699B" w:rsidRDefault="00DB7902" w:rsidP="009873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699B">
              <w:rPr>
                <w:rFonts w:ascii="Times New Roman" w:hAnsi="Times New Roman" w:cs="Times New Roman"/>
                <w:color w:val="000000"/>
              </w:rPr>
              <w:t>Кількість суб’єктів господарювання, що підпадають під дію регулювання, одиниць</w:t>
            </w:r>
            <w:r w:rsidRPr="0076699B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DB7902" w:rsidRPr="0076699B" w:rsidRDefault="00DB7902" w:rsidP="0098739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76699B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B7902" w:rsidRPr="0076699B" w:rsidRDefault="00DB7902" w:rsidP="0098739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76699B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B7902" w:rsidRPr="0076699B" w:rsidRDefault="00D1265C" w:rsidP="0098739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DB7902" w:rsidRPr="0076699B" w:rsidRDefault="00D1265C" w:rsidP="0098739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40" w:type="dxa"/>
            <w:shd w:val="clear" w:color="auto" w:fill="auto"/>
          </w:tcPr>
          <w:p w:rsidR="00DB7902" w:rsidRPr="0076699B" w:rsidRDefault="00DB7902" w:rsidP="00D1265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76699B">
              <w:rPr>
                <w:color w:val="000000"/>
              </w:rPr>
              <w:t>1</w:t>
            </w:r>
            <w:r w:rsidR="00D1265C">
              <w:rPr>
                <w:color w:val="000000"/>
              </w:rPr>
              <w:t>3</w:t>
            </w:r>
          </w:p>
        </w:tc>
      </w:tr>
      <w:tr w:rsidR="00DB7902" w:rsidRPr="0076699B" w:rsidTr="00215A47">
        <w:tc>
          <w:tcPr>
            <w:tcW w:w="4077" w:type="dxa"/>
            <w:shd w:val="clear" w:color="auto" w:fill="auto"/>
          </w:tcPr>
          <w:p w:rsidR="00DB7902" w:rsidRPr="0076699B" w:rsidRDefault="00DB7902" w:rsidP="009873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699B">
              <w:rPr>
                <w:rFonts w:ascii="Times New Roman" w:hAnsi="Times New Roman" w:cs="Times New Roman"/>
                <w:color w:val="000000"/>
              </w:rPr>
              <w:t>Питома вага групи у загальній кількості, відсотків</w:t>
            </w:r>
          </w:p>
        </w:tc>
        <w:tc>
          <w:tcPr>
            <w:tcW w:w="993" w:type="dxa"/>
            <w:shd w:val="clear" w:color="auto" w:fill="auto"/>
          </w:tcPr>
          <w:p w:rsidR="00DB7902" w:rsidRPr="0076699B" w:rsidRDefault="00D1265C" w:rsidP="0098739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15,4</w:t>
            </w:r>
          </w:p>
        </w:tc>
        <w:tc>
          <w:tcPr>
            <w:tcW w:w="1134" w:type="dxa"/>
            <w:shd w:val="clear" w:color="auto" w:fill="auto"/>
          </w:tcPr>
          <w:p w:rsidR="00DB7902" w:rsidRPr="0076699B" w:rsidRDefault="00DB7902" w:rsidP="00D1265C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76699B">
              <w:rPr>
                <w:color w:val="000000"/>
              </w:rPr>
              <w:t>5</w:t>
            </w:r>
            <w:r w:rsidR="00D1265C">
              <w:rPr>
                <w:color w:val="000000"/>
              </w:rPr>
              <w:t>3,8</w:t>
            </w:r>
          </w:p>
        </w:tc>
        <w:tc>
          <w:tcPr>
            <w:tcW w:w="1134" w:type="dxa"/>
            <w:shd w:val="clear" w:color="auto" w:fill="auto"/>
          </w:tcPr>
          <w:p w:rsidR="00DB7902" w:rsidRPr="0076699B" w:rsidRDefault="00D1265C" w:rsidP="0098739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30,8</w:t>
            </w:r>
          </w:p>
        </w:tc>
        <w:tc>
          <w:tcPr>
            <w:tcW w:w="1275" w:type="dxa"/>
            <w:shd w:val="clear" w:color="auto" w:fill="auto"/>
          </w:tcPr>
          <w:p w:rsidR="00DB7902" w:rsidRPr="0076699B" w:rsidRDefault="00D1265C" w:rsidP="0098739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40" w:type="dxa"/>
            <w:shd w:val="clear" w:color="auto" w:fill="auto"/>
          </w:tcPr>
          <w:p w:rsidR="00DB7902" w:rsidRPr="0076699B" w:rsidRDefault="00D1265C" w:rsidP="0098739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</w:tbl>
    <w:p w:rsidR="00DB7902" w:rsidRPr="0076699B" w:rsidRDefault="00DB7902" w:rsidP="0098739E">
      <w:pPr>
        <w:pStyle w:val="a5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6699B">
        <w:rPr>
          <w:color w:val="000000"/>
          <w:sz w:val="20"/>
          <w:szCs w:val="20"/>
        </w:rPr>
        <w:t>____________</w:t>
      </w:r>
    </w:p>
    <w:p w:rsidR="00DB7902" w:rsidRPr="0076699B" w:rsidRDefault="00DB7902" w:rsidP="0098739E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76699B">
        <w:rPr>
          <w:color w:val="000000"/>
          <w:sz w:val="20"/>
          <w:szCs w:val="20"/>
          <w:vertAlign w:val="superscript"/>
        </w:rPr>
        <w:t>2</w:t>
      </w:r>
      <w:r w:rsidRPr="0076699B">
        <w:rPr>
          <w:color w:val="000000"/>
          <w:sz w:val="20"/>
          <w:szCs w:val="20"/>
        </w:rPr>
        <w:t xml:space="preserve"> Для визначення кількості суб’єктів господарювання, що підпадають під дію регуляторного </w:t>
      </w:r>
      <w:proofErr w:type="spellStart"/>
      <w:r w:rsidRPr="0076699B">
        <w:rPr>
          <w:color w:val="000000"/>
          <w:sz w:val="20"/>
          <w:szCs w:val="20"/>
        </w:rPr>
        <w:t>акта</w:t>
      </w:r>
      <w:proofErr w:type="spellEnd"/>
      <w:r w:rsidRPr="0076699B">
        <w:rPr>
          <w:color w:val="000000"/>
          <w:sz w:val="20"/>
          <w:szCs w:val="20"/>
        </w:rPr>
        <w:t>, використовувались такі дані:</w:t>
      </w:r>
    </w:p>
    <w:p w:rsidR="00DB7902" w:rsidRPr="0076699B" w:rsidRDefault="00DB7902" w:rsidP="0098739E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76699B">
        <w:rPr>
          <w:color w:val="000000"/>
          <w:sz w:val="20"/>
          <w:szCs w:val="20"/>
        </w:rPr>
        <w:t>1) відомості про кваліфікованих надавачів електронних довірчих послуг, що містяться у Довірчому списку (</w:t>
      </w:r>
      <w:hyperlink r:id="rId6" w:history="1">
        <w:r w:rsidRPr="0076699B">
          <w:rPr>
            <w:rStyle w:val="a7"/>
            <w:color w:val="000000"/>
            <w:sz w:val="20"/>
            <w:szCs w:val="20"/>
          </w:rPr>
          <w:t>https://www.czo.gov.ua/trustedlist</w:t>
        </w:r>
      </w:hyperlink>
      <w:r w:rsidRPr="0076699B">
        <w:rPr>
          <w:color w:val="000000"/>
          <w:sz w:val="20"/>
          <w:szCs w:val="20"/>
        </w:rPr>
        <w:t>) та електронному реєстрі чинних, блокованих та скасованих сертифікатів відкритих ключів (</w:t>
      </w:r>
      <w:hyperlink r:id="rId7" w:history="1">
        <w:r w:rsidRPr="0076699B">
          <w:rPr>
            <w:rStyle w:val="a7"/>
            <w:color w:val="000000"/>
            <w:sz w:val="20"/>
            <w:szCs w:val="20"/>
          </w:rPr>
          <w:t>https://www.czo.gov.ua/ca-registry</w:t>
        </w:r>
      </w:hyperlink>
      <w:r w:rsidRPr="0076699B">
        <w:rPr>
          <w:color w:val="000000"/>
          <w:sz w:val="20"/>
          <w:szCs w:val="20"/>
        </w:rPr>
        <w:t xml:space="preserve">), які розміщені на офіційному веб-сайті центрального </w:t>
      </w:r>
      <w:proofErr w:type="spellStart"/>
      <w:r w:rsidRPr="0076699B">
        <w:rPr>
          <w:color w:val="000000"/>
          <w:sz w:val="20"/>
          <w:szCs w:val="20"/>
        </w:rPr>
        <w:t>засвідчувального</w:t>
      </w:r>
      <w:proofErr w:type="spellEnd"/>
      <w:r w:rsidRPr="0076699B">
        <w:rPr>
          <w:color w:val="000000"/>
          <w:sz w:val="20"/>
          <w:szCs w:val="20"/>
        </w:rPr>
        <w:t xml:space="preserve"> органу (всього 1</w:t>
      </w:r>
      <w:r w:rsidR="00D1265C">
        <w:rPr>
          <w:color w:val="000000"/>
          <w:sz w:val="20"/>
          <w:szCs w:val="20"/>
        </w:rPr>
        <w:t>3</w:t>
      </w:r>
      <w:r w:rsidRPr="0076699B">
        <w:rPr>
          <w:color w:val="000000"/>
          <w:sz w:val="20"/>
          <w:szCs w:val="20"/>
        </w:rPr>
        <w:t>);</w:t>
      </w:r>
    </w:p>
    <w:p w:rsidR="00DB7902" w:rsidRPr="0076699B" w:rsidRDefault="00DB7902" w:rsidP="0098739E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76699B">
        <w:rPr>
          <w:color w:val="000000"/>
          <w:sz w:val="20"/>
          <w:szCs w:val="20"/>
        </w:rPr>
        <w:t>2) відомості про кваліфікованих надавачів електронних довірчих послуг, що є суб’єктами господарювання, одержані від них на запит Міністерства цифрової трансформації України.</w:t>
      </w:r>
    </w:p>
    <w:p w:rsidR="00DB7902" w:rsidRPr="0076699B" w:rsidRDefault="00DB7902" w:rsidP="0098739E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B7902" w:rsidRPr="0076699B" w:rsidRDefault="00DB7902" w:rsidP="0098739E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76699B">
        <w:rPr>
          <w:b/>
          <w:bCs/>
          <w:color w:val="000000"/>
          <w:sz w:val="28"/>
          <w:szCs w:val="28"/>
        </w:rPr>
        <w:t>Альтернативні способи досягнення цілей державного регулювання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738"/>
        <w:gridCol w:w="3880"/>
      </w:tblGrid>
      <w:tr w:rsidR="00DB7902" w:rsidRPr="0076699B" w:rsidTr="00215A47">
        <w:tc>
          <w:tcPr>
            <w:tcW w:w="2235" w:type="dxa"/>
            <w:shd w:val="clear" w:color="auto" w:fill="auto"/>
          </w:tcPr>
          <w:p w:rsidR="00DB7902" w:rsidRPr="0076699B" w:rsidRDefault="00DB7902" w:rsidP="009873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6699B">
              <w:rPr>
                <w:rFonts w:ascii="Times New Roman" w:hAnsi="Times New Roman" w:cs="Times New Roman"/>
                <w:b/>
                <w:bCs/>
                <w:color w:val="000000"/>
              </w:rPr>
              <w:t>Вид альтернативи</w:t>
            </w:r>
          </w:p>
        </w:tc>
        <w:tc>
          <w:tcPr>
            <w:tcW w:w="3738" w:type="dxa"/>
            <w:shd w:val="clear" w:color="auto" w:fill="auto"/>
          </w:tcPr>
          <w:p w:rsidR="00DB7902" w:rsidRPr="0076699B" w:rsidRDefault="00DB7902" w:rsidP="009873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6699B">
              <w:rPr>
                <w:rFonts w:ascii="Times New Roman" w:hAnsi="Times New Roman" w:cs="Times New Roman"/>
                <w:b/>
                <w:bCs/>
                <w:color w:val="000000"/>
              </w:rPr>
              <w:t>Вигоди</w:t>
            </w:r>
          </w:p>
        </w:tc>
        <w:tc>
          <w:tcPr>
            <w:tcW w:w="3880" w:type="dxa"/>
            <w:shd w:val="clear" w:color="auto" w:fill="auto"/>
          </w:tcPr>
          <w:p w:rsidR="00DB7902" w:rsidRPr="0076699B" w:rsidRDefault="00DB7902" w:rsidP="009873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6699B">
              <w:rPr>
                <w:rFonts w:ascii="Times New Roman" w:hAnsi="Times New Roman" w:cs="Times New Roman"/>
                <w:b/>
                <w:bCs/>
                <w:color w:val="000000"/>
              </w:rPr>
              <w:t>Витрати</w:t>
            </w:r>
          </w:p>
        </w:tc>
      </w:tr>
      <w:tr w:rsidR="00DB7902" w:rsidRPr="0076699B" w:rsidTr="00215A47">
        <w:tc>
          <w:tcPr>
            <w:tcW w:w="2235" w:type="dxa"/>
            <w:shd w:val="clear" w:color="auto" w:fill="auto"/>
          </w:tcPr>
          <w:p w:rsidR="00DB7902" w:rsidRPr="0076699B" w:rsidRDefault="00DB7902" w:rsidP="0098739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76699B">
              <w:rPr>
                <w:color w:val="000000"/>
              </w:rPr>
              <w:t>Альтернатива 1</w:t>
            </w:r>
          </w:p>
          <w:p w:rsidR="00DB7902" w:rsidRPr="0076699B" w:rsidRDefault="00DB7902" w:rsidP="0098739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76699B">
              <w:rPr>
                <w:color w:val="000000"/>
              </w:rPr>
              <w:t xml:space="preserve">Прийняття регуляторного </w:t>
            </w:r>
            <w:proofErr w:type="spellStart"/>
            <w:r w:rsidRPr="0076699B">
              <w:rPr>
                <w:color w:val="000000"/>
              </w:rPr>
              <w:t>акта</w:t>
            </w:r>
            <w:proofErr w:type="spellEnd"/>
          </w:p>
        </w:tc>
        <w:tc>
          <w:tcPr>
            <w:tcW w:w="3738" w:type="dxa"/>
            <w:shd w:val="clear" w:color="auto" w:fill="auto"/>
          </w:tcPr>
          <w:p w:rsidR="009D21A0" w:rsidRDefault="009D21A0" w:rsidP="009D21A0">
            <w:pPr>
              <w:pStyle w:val="a5"/>
              <w:spacing w:before="0" w:beforeAutospacing="0" w:after="0" w:afterAutospacing="0"/>
              <w:ind w:firstLine="459"/>
              <w:jc w:val="both"/>
              <w:rPr>
                <w:color w:val="000000"/>
              </w:rPr>
            </w:pPr>
            <w:r w:rsidRPr="0063525A">
              <w:t xml:space="preserve">Прийняття </w:t>
            </w:r>
            <w:r w:rsidR="007F539B">
              <w:t>регуляторного</w:t>
            </w:r>
            <w:r w:rsidRPr="0063525A">
              <w:t xml:space="preserve"> </w:t>
            </w:r>
            <w:proofErr w:type="spellStart"/>
            <w:r w:rsidRPr="0063525A">
              <w:t>акта</w:t>
            </w:r>
            <w:proofErr w:type="spellEnd"/>
            <w:r w:rsidRPr="0063525A">
              <w:t xml:space="preserve"> в перспективі матиме такий вплив на інтереси суб’єктів господарювання:</w:t>
            </w:r>
          </w:p>
          <w:p w:rsidR="00DB7902" w:rsidRDefault="00DB7902" w:rsidP="009D21A0">
            <w:pPr>
              <w:pStyle w:val="a5"/>
              <w:spacing w:before="0" w:beforeAutospacing="0" w:after="0" w:afterAutospacing="0"/>
              <w:ind w:firstLine="459"/>
              <w:jc w:val="both"/>
              <w:rPr>
                <w:color w:val="000000"/>
              </w:rPr>
            </w:pPr>
            <w:r w:rsidRPr="0076699B">
              <w:rPr>
                <w:color w:val="000000"/>
              </w:rPr>
              <w:t>наближенням до законодавства та стандартів Європейського Союзу в сф</w:t>
            </w:r>
            <w:r w:rsidR="009D21A0">
              <w:rPr>
                <w:color w:val="000000"/>
              </w:rPr>
              <w:t>ері електронних довірчих послуг;</w:t>
            </w:r>
          </w:p>
          <w:p w:rsidR="009D21A0" w:rsidRDefault="009D21A0" w:rsidP="009D21A0">
            <w:pPr>
              <w:pStyle w:val="a5"/>
              <w:spacing w:before="0" w:beforeAutospacing="0" w:after="0" w:afterAutospacing="0"/>
              <w:ind w:firstLine="459"/>
              <w:jc w:val="both"/>
              <w:rPr>
                <w:color w:val="000000"/>
              </w:rPr>
            </w:pPr>
            <w:r w:rsidRPr="0076699B">
              <w:rPr>
                <w:color w:val="000000"/>
              </w:rPr>
              <w:t>удосконалення механізму проведення процедури оцінки відповідності вимогам до кваліфікованих надавачів електронних довірчих послуг та послуг, що ними надаються</w:t>
            </w:r>
          </w:p>
          <w:p w:rsidR="009D21A0" w:rsidRPr="0076699B" w:rsidRDefault="009D21A0" w:rsidP="009D21A0">
            <w:pPr>
              <w:pStyle w:val="a5"/>
              <w:spacing w:before="0" w:beforeAutospacing="0" w:after="0" w:afterAutospacing="0"/>
              <w:ind w:firstLine="459"/>
              <w:jc w:val="both"/>
              <w:rPr>
                <w:color w:val="000000"/>
              </w:rPr>
            </w:pPr>
          </w:p>
        </w:tc>
        <w:tc>
          <w:tcPr>
            <w:tcW w:w="3880" w:type="dxa"/>
            <w:shd w:val="clear" w:color="auto" w:fill="auto"/>
          </w:tcPr>
          <w:p w:rsidR="00DB7902" w:rsidRPr="0076699B" w:rsidRDefault="00DB7902" w:rsidP="0098739E">
            <w:pPr>
              <w:ind w:firstLine="42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699B">
              <w:rPr>
                <w:rFonts w:ascii="Times New Roman" w:hAnsi="Times New Roman" w:cs="Times New Roman"/>
                <w:color w:val="000000"/>
              </w:rPr>
              <w:t>Витрати відсутні</w:t>
            </w:r>
          </w:p>
        </w:tc>
      </w:tr>
      <w:tr w:rsidR="00DB7902" w:rsidRPr="0076699B" w:rsidTr="00215A47">
        <w:tc>
          <w:tcPr>
            <w:tcW w:w="2235" w:type="dxa"/>
            <w:shd w:val="clear" w:color="auto" w:fill="auto"/>
          </w:tcPr>
          <w:p w:rsidR="00DB7902" w:rsidRPr="0076699B" w:rsidRDefault="00DB7902" w:rsidP="0098739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76699B">
              <w:rPr>
                <w:color w:val="000000"/>
              </w:rPr>
              <w:t>Альтернатива 2</w:t>
            </w:r>
          </w:p>
          <w:p w:rsidR="00DB7902" w:rsidRPr="0076699B" w:rsidRDefault="00DB7902" w:rsidP="0098739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76699B">
              <w:rPr>
                <w:color w:val="000000"/>
              </w:rPr>
              <w:t>Відсутність регулювання</w:t>
            </w:r>
          </w:p>
        </w:tc>
        <w:tc>
          <w:tcPr>
            <w:tcW w:w="3738" w:type="dxa"/>
            <w:shd w:val="clear" w:color="auto" w:fill="auto"/>
          </w:tcPr>
          <w:p w:rsidR="00DB7902" w:rsidRPr="0076699B" w:rsidRDefault="009D21A0" w:rsidP="0098739E">
            <w:pPr>
              <w:pStyle w:val="a5"/>
              <w:spacing w:before="0" w:beforeAutospacing="0" w:after="0" w:afterAutospacing="0"/>
              <w:ind w:firstLine="459"/>
              <w:jc w:val="both"/>
              <w:rPr>
                <w:color w:val="000000"/>
              </w:rPr>
            </w:pPr>
            <w:r w:rsidRPr="0063525A">
              <w:t xml:space="preserve">Відсутність регулювання означає залишення існуючого стану справ, що не передбачає жодних </w:t>
            </w:r>
            <w:proofErr w:type="spellStart"/>
            <w:r w:rsidRPr="0063525A">
              <w:t>вигод</w:t>
            </w:r>
            <w:proofErr w:type="spellEnd"/>
            <w:r w:rsidRPr="0063525A">
              <w:t xml:space="preserve"> для суб’єктів господарювання</w:t>
            </w:r>
          </w:p>
        </w:tc>
        <w:tc>
          <w:tcPr>
            <w:tcW w:w="3880" w:type="dxa"/>
            <w:shd w:val="clear" w:color="auto" w:fill="auto"/>
          </w:tcPr>
          <w:p w:rsidR="009D21A0" w:rsidRPr="0063525A" w:rsidRDefault="009D21A0" w:rsidP="009D21A0">
            <w:pPr>
              <w:pStyle w:val="a5"/>
              <w:spacing w:before="0" w:beforeAutospacing="0" w:after="0" w:afterAutospacing="0"/>
              <w:ind w:firstLine="459"/>
              <w:jc w:val="both"/>
            </w:pPr>
            <w:r w:rsidRPr="0063525A">
              <w:t>Відсутність регулювання означає залишення існуючого стану справ, що не матиме такого впливу на інтереси суб’єктів господарювання:</w:t>
            </w:r>
          </w:p>
          <w:p w:rsidR="00F45927" w:rsidRDefault="00F45927" w:rsidP="00F45927">
            <w:pPr>
              <w:pStyle w:val="a5"/>
              <w:spacing w:before="0" w:beforeAutospacing="0" w:after="0" w:afterAutospacing="0"/>
              <w:ind w:firstLine="459"/>
              <w:jc w:val="both"/>
              <w:rPr>
                <w:color w:val="000000"/>
              </w:rPr>
            </w:pPr>
            <w:r w:rsidRPr="0076699B">
              <w:rPr>
                <w:color w:val="000000"/>
              </w:rPr>
              <w:t>наближенням до законодавства та стандартів Європейського Союзу в сф</w:t>
            </w:r>
            <w:r>
              <w:rPr>
                <w:color w:val="000000"/>
              </w:rPr>
              <w:t>ері електронних довірчих послуг;</w:t>
            </w:r>
          </w:p>
          <w:p w:rsidR="009D21A0" w:rsidRPr="0076699B" w:rsidRDefault="00F45927" w:rsidP="00F45927">
            <w:pPr>
              <w:pStyle w:val="a5"/>
              <w:spacing w:before="0" w:beforeAutospacing="0" w:after="0" w:afterAutospacing="0"/>
              <w:ind w:firstLine="459"/>
              <w:jc w:val="both"/>
              <w:rPr>
                <w:color w:val="000000"/>
              </w:rPr>
            </w:pPr>
            <w:r w:rsidRPr="0076699B">
              <w:rPr>
                <w:color w:val="000000"/>
              </w:rPr>
              <w:t>удосконалення механізму проведення процедури оцінки відповідності вимогам до кваліфікованих надавачів електронних довірчих послуг та послуг, що ними надаються</w:t>
            </w:r>
          </w:p>
        </w:tc>
      </w:tr>
    </w:tbl>
    <w:p w:rsidR="00DB7902" w:rsidRPr="0076699B" w:rsidRDefault="00DB7902" w:rsidP="0098739E">
      <w:pPr>
        <w:pStyle w:val="3"/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6699B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ВИТРАТИ</w:t>
      </w:r>
    </w:p>
    <w:p w:rsidR="00DB7902" w:rsidRPr="0076699B" w:rsidRDefault="00DB7902" w:rsidP="0098739E">
      <w:pPr>
        <w:pStyle w:val="3"/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6699B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на одного суб’єкта господарювання великого і середнього підприємництва, які виникають внаслідок дії регуляторного </w:t>
      </w:r>
      <w:proofErr w:type="spellStart"/>
      <w:r w:rsidRPr="0076699B">
        <w:rPr>
          <w:rFonts w:ascii="Times New Roman" w:hAnsi="Times New Roman"/>
          <w:b/>
          <w:color w:val="000000"/>
          <w:sz w:val="28"/>
          <w:szCs w:val="28"/>
          <w:lang w:val="uk-UA"/>
        </w:rPr>
        <w:t>акта</w:t>
      </w:r>
      <w:proofErr w:type="spellEnd"/>
    </w:p>
    <w:p w:rsidR="00DB7902" w:rsidRPr="0076699B" w:rsidRDefault="00DB7902" w:rsidP="0098739E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699B">
        <w:rPr>
          <w:color w:val="000000"/>
          <w:sz w:val="28"/>
          <w:szCs w:val="28"/>
        </w:rPr>
        <w:t xml:space="preserve">З огляду на відомості, одержані на запит Міністерства цифрової трансформації України від кваліфікованих надавачів електронних довірчих послуг, що є суб’єктами господарювання, витрати на одного суб’єкта господарювання великого і середнього підприємництва, які виникають внаслідок дії регуляторного </w:t>
      </w:r>
      <w:proofErr w:type="spellStart"/>
      <w:r w:rsidRPr="0076699B">
        <w:rPr>
          <w:color w:val="000000"/>
          <w:sz w:val="28"/>
          <w:szCs w:val="28"/>
        </w:rPr>
        <w:t>акта</w:t>
      </w:r>
      <w:proofErr w:type="spellEnd"/>
      <w:r w:rsidRPr="0076699B">
        <w:rPr>
          <w:color w:val="000000"/>
          <w:sz w:val="28"/>
          <w:szCs w:val="28"/>
        </w:rPr>
        <w:t>, відсутні.</w:t>
      </w:r>
    </w:p>
    <w:p w:rsidR="00DB7902" w:rsidRPr="0076699B" w:rsidRDefault="00DB7902" w:rsidP="0098739E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699B">
        <w:rPr>
          <w:color w:val="000000"/>
          <w:sz w:val="28"/>
          <w:szCs w:val="28"/>
        </w:rPr>
        <w:t xml:space="preserve">Відсутність витрат, які виникають внаслідок дії регуляторного </w:t>
      </w:r>
      <w:proofErr w:type="spellStart"/>
      <w:r w:rsidRPr="0076699B">
        <w:rPr>
          <w:color w:val="000000"/>
          <w:sz w:val="28"/>
          <w:szCs w:val="28"/>
        </w:rPr>
        <w:t>акта</w:t>
      </w:r>
      <w:proofErr w:type="spellEnd"/>
      <w:r w:rsidRPr="0076699B">
        <w:rPr>
          <w:color w:val="000000"/>
          <w:sz w:val="28"/>
          <w:szCs w:val="28"/>
        </w:rPr>
        <w:t>, пояснюється тим, що регуляторним актом пропонується</w:t>
      </w:r>
      <w:r w:rsidR="005E5767">
        <w:rPr>
          <w:color w:val="000000"/>
          <w:sz w:val="28"/>
          <w:szCs w:val="28"/>
        </w:rPr>
        <w:t xml:space="preserve"> </w:t>
      </w:r>
      <w:r w:rsidRPr="0076699B">
        <w:rPr>
          <w:color w:val="000000"/>
          <w:sz w:val="28"/>
          <w:szCs w:val="28"/>
        </w:rPr>
        <w:t xml:space="preserve">удосконалити механізм проведення процедури оцінки відповідності вимогам до кваліфікованих надавачів електронних довірчих послуг та послуг, що ними надаються, встановлений Порядком проведення процедури оцінки відповідності у сфері електронних довірчих послуг, затвердженим постановою Кабінету Міністрів України від </w:t>
      </w:r>
      <w:r w:rsidR="00D80CD2">
        <w:rPr>
          <w:color w:val="000000"/>
          <w:sz w:val="28"/>
          <w:szCs w:val="28"/>
        </w:rPr>
        <w:br/>
      </w:r>
      <w:r w:rsidRPr="0076699B">
        <w:rPr>
          <w:color w:val="000000"/>
          <w:sz w:val="28"/>
          <w:szCs w:val="28"/>
        </w:rPr>
        <w:t>18 грудня 2018 р. № 1215.</w:t>
      </w:r>
    </w:p>
    <w:p w:rsidR="00DB7902" w:rsidRPr="0076699B" w:rsidRDefault="00DB7902" w:rsidP="009873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99B">
        <w:rPr>
          <w:rFonts w:ascii="Times New Roman" w:hAnsi="Times New Roman" w:cs="Times New Roman"/>
          <w:sz w:val="28"/>
          <w:szCs w:val="28"/>
        </w:rPr>
        <w:t>Слід зауважити, що станом на сьогодні в Україні не здійснюється оцінка відповідності у сфері електронних довірчих послуг з огляду на те, що жодного органу з оцінки відповідності у сфері електронних довірчих послуг не акредитовано відповідно до законодавства у сфері акредитації. Натомість Адміністрацією Державної служби спеціального зв’язку та захисту інформації України проводяться заходи державного нагляду (контролю) за дотриманням вимог законодавства у сфері електронних довірчих послуг відповідно до вимог Закону України «Про основні засади державного нагляду (контролю) у сфері господарської діяльності» та Порядку перевірки дотримання вимог законодавства у сфері електронних довірчих послуг, затвердженого постановою Кабінету Міністрів України від 7 листопада 2018 р. № 992.</w:t>
      </w:r>
    </w:p>
    <w:p w:rsidR="00DB7902" w:rsidRPr="0076699B" w:rsidRDefault="00DB7902" w:rsidP="0098739E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699B">
        <w:rPr>
          <w:color w:val="000000"/>
          <w:sz w:val="28"/>
          <w:szCs w:val="28"/>
        </w:rPr>
        <w:t xml:space="preserve">З огляду на зазначене кваліфіковані надавачі електронних довірчих послуг не вбачають збільшення витрат, пов’язаних з наданням електронних довірчих послуг, у зв’язку з реалізацією положень регуляторного </w:t>
      </w:r>
      <w:proofErr w:type="spellStart"/>
      <w:r w:rsidRPr="0076699B">
        <w:rPr>
          <w:color w:val="000000"/>
          <w:sz w:val="28"/>
          <w:szCs w:val="28"/>
        </w:rPr>
        <w:t>акта</w:t>
      </w:r>
      <w:proofErr w:type="spellEnd"/>
      <w:r w:rsidRPr="0076699B">
        <w:rPr>
          <w:color w:val="000000"/>
          <w:sz w:val="28"/>
          <w:szCs w:val="28"/>
        </w:rPr>
        <w:t>.</w:t>
      </w:r>
    </w:p>
    <w:p w:rsidR="00DB7902" w:rsidRPr="0076699B" w:rsidRDefault="00DB7902" w:rsidP="0098739E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B7902" w:rsidRPr="0076699B" w:rsidRDefault="00DB7902" w:rsidP="0098739E">
      <w:pPr>
        <w:pStyle w:val="3"/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6699B">
        <w:rPr>
          <w:rFonts w:ascii="Times New Roman" w:hAnsi="Times New Roman"/>
          <w:b/>
          <w:color w:val="000000"/>
          <w:sz w:val="28"/>
          <w:szCs w:val="28"/>
          <w:lang w:val="uk-UA"/>
        </w:rPr>
        <w:t>IV. Вибір найбільш оптимального альтернативного способу досягнення цілей</w:t>
      </w:r>
    </w:p>
    <w:p w:rsidR="00DB7902" w:rsidRPr="0076699B" w:rsidRDefault="00DB7902" w:rsidP="0098739E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699B">
        <w:rPr>
          <w:color w:val="000000"/>
          <w:sz w:val="28"/>
          <w:szCs w:val="28"/>
        </w:rPr>
        <w:t>За результатами аналізу альтернативних способів досягнення цілей державного регулювання здійснено вибір оптимального альтернативного способу з урахуванням системи бальної оцінки ступеня досягнення визначених цілей.</w:t>
      </w:r>
    </w:p>
    <w:p w:rsidR="00DB7902" w:rsidRPr="0076699B" w:rsidRDefault="00DB7902" w:rsidP="0098739E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699B">
        <w:rPr>
          <w:color w:val="000000"/>
          <w:sz w:val="28"/>
          <w:szCs w:val="28"/>
        </w:rPr>
        <w:t>Бал результативності визначається за чотирибальною системою оцінки ступеня досягнення визначених цілей державного регулювання.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268"/>
        <w:gridCol w:w="5492"/>
      </w:tblGrid>
      <w:tr w:rsidR="00DB7902" w:rsidRPr="0076699B" w:rsidTr="00215A47">
        <w:tc>
          <w:tcPr>
            <w:tcW w:w="2093" w:type="dxa"/>
            <w:shd w:val="clear" w:color="auto" w:fill="auto"/>
          </w:tcPr>
          <w:p w:rsidR="00DB7902" w:rsidRPr="0076699B" w:rsidRDefault="00DB7902" w:rsidP="0098739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76699B">
              <w:rPr>
                <w:color w:val="000000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2268" w:type="dxa"/>
            <w:shd w:val="clear" w:color="auto" w:fill="auto"/>
          </w:tcPr>
          <w:p w:rsidR="00DB7902" w:rsidRPr="0076699B" w:rsidRDefault="00DB7902" w:rsidP="0098739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76699B">
              <w:rPr>
                <w:color w:val="000000"/>
              </w:rPr>
              <w:t>Бал результативності (за чотирибальною системою оцінки)</w:t>
            </w:r>
          </w:p>
        </w:tc>
        <w:tc>
          <w:tcPr>
            <w:tcW w:w="5492" w:type="dxa"/>
            <w:shd w:val="clear" w:color="auto" w:fill="auto"/>
          </w:tcPr>
          <w:p w:rsidR="00DB7902" w:rsidRPr="0076699B" w:rsidRDefault="00DB7902" w:rsidP="0098739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76699B">
              <w:rPr>
                <w:color w:val="000000"/>
              </w:rPr>
              <w:t xml:space="preserve">Коментарі щодо присвоєння відповідного </w:t>
            </w:r>
            <w:proofErr w:type="spellStart"/>
            <w:r w:rsidRPr="0076699B">
              <w:rPr>
                <w:color w:val="000000"/>
              </w:rPr>
              <w:t>бала</w:t>
            </w:r>
            <w:proofErr w:type="spellEnd"/>
          </w:p>
        </w:tc>
      </w:tr>
      <w:tr w:rsidR="00DB7902" w:rsidRPr="0076699B" w:rsidTr="00215A47">
        <w:tc>
          <w:tcPr>
            <w:tcW w:w="2093" w:type="dxa"/>
            <w:shd w:val="clear" w:color="auto" w:fill="auto"/>
          </w:tcPr>
          <w:p w:rsidR="00DB7902" w:rsidRPr="0076699B" w:rsidRDefault="00DB7902" w:rsidP="0098739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76699B">
              <w:rPr>
                <w:color w:val="000000"/>
              </w:rPr>
              <w:t>Альтернатива 1</w:t>
            </w:r>
          </w:p>
          <w:p w:rsidR="00DB7902" w:rsidRPr="0076699B" w:rsidRDefault="00DB7902" w:rsidP="0098739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76699B">
              <w:rPr>
                <w:color w:val="000000"/>
              </w:rPr>
              <w:lastRenderedPageBreak/>
              <w:t xml:space="preserve">Прийняття регуляторного </w:t>
            </w:r>
            <w:proofErr w:type="spellStart"/>
            <w:r w:rsidRPr="0076699B">
              <w:rPr>
                <w:color w:val="000000"/>
              </w:rPr>
              <w:t>акта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B7902" w:rsidRPr="0076699B" w:rsidRDefault="00DB7902" w:rsidP="0098739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76699B">
              <w:rPr>
                <w:color w:val="000000"/>
              </w:rPr>
              <w:lastRenderedPageBreak/>
              <w:t>3</w:t>
            </w:r>
          </w:p>
        </w:tc>
        <w:tc>
          <w:tcPr>
            <w:tcW w:w="5492" w:type="dxa"/>
            <w:shd w:val="clear" w:color="auto" w:fill="auto"/>
          </w:tcPr>
          <w:p w:rsidR="00DB7902" w:rsidRPr="0076699B" w:rsidRDefault="00DB7902" w:rsidP="0098739E">
            <w:pPr>
              <w:pStyle w:val="a5"/>
              <w:spacing w:before="0" w:beforeAutospacing="0" w:after="0" w:afterAutospacing="0"/>
              <w:ind w:firstLine="459"/>
              <w:jc w:val="both"/>
              <w:rPr>
                <w:color w:val="000000"/>
              </w:rPr>
            </w:pPr>
            <w:r w:rsidRPr="0076699B">
              <w:rPr>
                <w:color w:val="000000"/>
              </w:rPr>
              <w:t xml:space="preserve">Реалізація регуляторного </w:t>
            </w:r>
            <w:proofErr w:type="spellStart"/>
            <w:r w:rsidRPr="0076699B">
              <w:rPr>
                <w:color w:val="000000"/>
              </w:rPr>
              <w:t>акта</w:t>
            </w:r>
            <w:proofErr w:type="spellEnd"/>
            <w:r w:rsidRPr="0076699B">
              <w:rPr>
                <w:color w:val="000000"/>
              </w:rPr>
              <w:t xml:space="preserve"> сприятиме досягненню таких цілей державного регулювання: </w:t>
            </w:r>
          </w:p>
          <w:p w:rsidR="00F45927" w:rsidRDefault="00DB7902" w:rsidP="0098739E">
            <w:pPr>
              <w:pStyle w:val="a5"/>
              <w:spacing w:before="0" w:beforeAutospacing="0" w:after="0" w:afterAutospacing="0"/>
              <w:ind w:firstLine="459"/>
              <w:jc w:val="both"/>
              <w:rPr>
                <w:color w:val="000000"/>
              </w:rPr>
            </w:pPr>
            <w:r w:rsidRPr="0076699B">
              <w:rPr>
                <w:color w:val="000000"/>
              </w:rPr>
              <w:lastRenderedPageBreak/>
              <w:t>покращенню якості надання електронних довірчих послуг</w:t>
            </w:r>
            <w:r w:rsidR="00F45927">
              <w:rPr>
                <w:color w:val="000000"/>
              </w:rPr>
              <w:t>;</w:t>
            </w:r>
            <w:r w:rsidRPr="0076699B">
              <w:rPr>
                <w:color w:val="000000"/>
              </w:rPr>
              <w:t xml:space="preserve"> </w:t>
            </w:r>
          </w:p>
          <w:p w:rsidR="00DB7902" w:rsidRPr="0076699B" w:rsidRDefault="00DB7902" w:rsidP="0098739E">
            <w:pPr>
              <w:pStyle w:val="a5"/>
              <w:spacing w:before="0" w:beforeAutospacing="0" w:after="0" w:afterAutospacing="0"/>
              <w:ind w:firstLine="459"/>
              <w:jc w:val="both"/>
              <w:rPr>
                <w:color w:val="000000"/>
              </w:rPr>
            </w:pPr>
            <w:r w:rsidRPr="0076699B">
              <w:rPr>
                <w:color w:val="000000"/>
              </w:rPr>
              <w:t>підвищенню рівня довіри до електронних довірчих послуг, електронної ідентифікації, а також електронного документообігу та їх популяризації;</w:t>
            </w:r>
          </w:p>
          <w:p w:rsidR="00DB7902" w:rsidRPr="0076699B" w:rsidRDefault="00DB7902" w:rsidP="0098739E">
            <w:pPr>
              <w:pStyle w:val="a5"/>
              <w:spacing w:before="0" w:beforeAutospacing="0" w:after="0" w:afterAutospacing="0"/>
              <w:ind w:firstLine="459"/>
              <w:jc w:val="both"/>
              <w:rPr>
                <w:color w:val="000000"/>
              </w:rPr>
            </w:pPr>
            <w:r w:rsidRPr="0076699B">
              <w:rPr>
                <w:color w:val="000000"/>
              </w:rPr>
              <w:t>підвищенню надійності та захищеності електронного документообігу та електронної ідентифікації, зокрема з використанням електронних довірчих послуг;</w:t>
            </w:r>
          </w:p>
          <w:p w:rsidR="00DB7902" w:rsidRPr="0076699B" w:rsidRDefault="00DB7902" w:rsidP="0098739E">
            <w:pPr>
              <w:pStyle w:val="a5"/>
              <w:spacing w:before="0" w:beforeAutospacing="0" w:after="0" w:afterAutospacing="0"/>
              <w:ind w:firstLine="459"/>
              <w:jc w:val="both"/>
              <w:rPr>
                <w:color w:val="000000"/>
              </w:rPr>
            </w:pPr>
            <w:r w:rsidRPr="0076699B">
              <w:rPr>
                <w:color w:val="000000"/>
              </w:rPr>
              <w:t>інтеграції України в</w:t>
            </w:r>
            <w:r w:rsidR="00F45927">
              <w:rPr>
                <w:color w:val="000000"/>
              </w:rPr>
              <w:t xml:space="preserve"> світовий інформаційний простір</w:t>
            </w:r>
          </w:p>
          <w:p w:rsidR="00DB7902" w:rsidRPr="0076699B" w:rsidRDefault="00DB7902" w:rsidP="0098739E">
            <w:pPr>
              <w:pStyle w:val="a5"/>
              <w:spacing w:before="0" w:beforeAutospacing="0" w:after="0" w:afterAutospacing="0"/>
              <w:ind w:firstLine="468"/>
              <w:jc w:val="both"/>
              <w:rPr>
                <w:color w:val="000000"/>
              </w:rPr>
            </w:pPr>
          </w:p>
        </w:tc>
      </w:tr>
      <w:tr w:rsidR="00DB7902" w:rsidRPr="0076699B" w:rsidTr="00215A47">
        <w:tc>
          <w:tcPr>
            <w:tcW w:w="2093" w:type="dxa"/>
            <w:shd w:val="clear" w:color="auto" w:fill="auto"/>
          </w:tcPr>
          <w:p w:rsidR="00DB7902" w:rsidRPr="0076699B" w:rsidRDefault="00DB7902" w:rsidP="0098739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76699B">
              <w:rPr>
                <w:color w:val="000000"/>
              </w:rPr>
              <w:lastRenderedPageBreak/>
              <w:t>Альтернатива 2</w:t>
            </w:r>
          </w:p>
          <w:p w:rsidR="00DB7902" w:rsidRPr="0076699B" w:rsidRDefault="00DB7902" w:rsidP="0098739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76699B">
              <w:rPr>
                <w:color w:val="000000"/>
              </w:rPr>
              <w:t>Відсутність регулювання</w:t>
            </w:r>
          </w:p>
        </w:tc>
        <w:tc>
          <w:tcPr>
            <w:tcW w:w="2268" w:type="dxa"/>
            <w:shd w:val="clear" w:color="auto" w:fill="auto"/>
          </w:tcPr>
          <w:p w:rsidR="00DB7902" w:rsidRPr="0076699B" w:rsidRDefault="00DB7902" w:rsidP="0098739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76699B">
              <w:rPr>
                <w:color w:val="000000"/>
              </w:rPr>
              <w:t>1</w:t>
            </w:r>
          </w:p>
        </w:tc>
        <w:tc>
          <w:tcPr>
            <w:tcW w:w="5492" w:type="dxa"/>
            <w:shd w:val="clear" w:color="auto" w:fill="auto"/>
          </w:tcPr>
          <w:p w:rsidR="00F45927" w:rsidRPr="0063525A" w:rsidRDefault="00F45927" w:rsidP="00F45927">
            <w:pPr>
              <w:pStyle w:val="a5"/>
              <w:spacing w:before="0" w:beforeAutospacing="0" w:after="0" w:afterAutospacing="0"/>
              <w:ind w:firstLine="459"/>
              <w:jc w:val="both"/>
            </w:pPr>
            <w:r w:rsidRPr="0063525A">
              <w:t xml:space="preserve">Відсутність регулювання означає залишення існуючого стану справ, що не передбачає жодних </w:t>
            </w:r>
            <w:proofErr w:type="spellStart"/>
            <w:r w:rsidRPr="0063525A">
              <w:t>вигод</w:t>
            </w:r>
            <w:proofErr w:type="spellEnd"/>
            <w:r w:rsidRPr="0063525A">
              <w:t xml:space="preserve"> для суб’єктів господарювання, а саме:</w:t>
            </w:r>
          </w:p>
          <w:p w:rsidR="00F45927" w:rsidRDefault="00F45927" w:rsidP="00F45927">
            <w:pPr>
              <w:pStyle w:val="a5"/>
              <w:spacing w:before="0" w:beforeAutospacing="0" w:after="0" w:afterAutospacing="0"/>
              <w:ind w:firstLine="459"/>
              <w:jc w:val="both"/>
              <w:rPr>
                <w:color w:val="000000"/>
              </w:rPr>
            </w:pPr>
            <w:r w:rsidRPr="0076699B">
              <w:rPr>
                <w:color w:val="000000"/>
              </w:rPr>
              <w:t>покращенн</w:t>
            </w:r>
            <w:r>
              <w:rPr>
                <w:color w:val="000000"/>
              </w:rPr>
              <w:t>я</w:t>
            </w:r>
            <w:r w:rsidRPr="0076699B">
              <w:rPr>
                <w:color w:val="000000"/>
              </w:rPr>
              <w:t xml:space="preserve"> якості надання електронних довірчих послуг</w:t>
            </w:r>
            <w:r>
              <w:rPr>
                <w:color w:val="000000"/>
              </w:rPr>
              <w:t>;</w:t>
            </w:r>
            <w:r w:rsidRPr="0076699B">
              <w:rPr>
                <w:color w:val="000000"/>
              </w:rPr>
              <w:t xml:space="preserve"> </w:t>
            </w:r>
          </w:p>
          <w:p w:rsidR="00F45927" w:rsidRPr="0076699B" w:rsidRDefault="00F45927" w:rsidP="00F45927">
            <w:pPr>
              <w:pStyle w:val="a5"/>
              <w:spacing w:before="0" w:beforeAutospacing="0" w:after="0" w:afterAutospacing="0"/>
              <w:ind w:firstLine="459"/>
              <w:jc w:val="both"/>
              <w:rPr>
                <w:color w:val="000000"/>
              </w:rPr>
            </w:pPr>
            <w:r w:rsidRPr="0076699B">
              <w:rPr>
                <w:color w:val="000000"/>
              </w:rPr>
              <w:t>підвищенн</w:t>
            </w:r>
            <w:r>
              <w:rPr>
                <w:color w:val="000000"/>
              </w:rPr>
              <w:t>я</w:t>
            </w:r>
            <w:r w:rsidRPr="0076699B">
              <w:rPr>
                <w:color w:val="000000"/>
              </w:rPr>
              <w:t xml:space="preserve"> рівня довіри до електронних довірчих послуг, електронної ідентифікації, а також електронного документообігу та їх популяризації;</w:t>
            </w:r>
          </w:p>
          <w:p w:rsidR="00F45927" w:rsidRPr="0076699B" w:rsidRDefault="00F45927" w:rsidP="00F45927">
            <w:pPr>
              <w:pStyle w:val="a5"/>
              <w:spacing w:before="0" w:beforeAutospacing="0" w:after="0" w:afterAutospacing="0"/>
              <w:ind w:firstLine="459"/>
              <w:jc w:val="both"/>
              <w:rPr>
                <w:color w:val="000000"/>
              </w:rPr>
            </w:pPr>
            <w:r w:rsidRPr="0076699B">
              <w:rPr>
                <w:color w:val="000000"/>
              </w:rPr>
              <w:t>підвищенн</w:t>
            </w:r>
            <w:r>
              <w:rPr>
                <w:color w:val="000000"/>
              </w:rPr>
              <w:t>я</w:t>
            </w:r>
            <w:r w:rsidRPr="0076699B">
              <w:rPr>
                <w:color w:val="000000"/>
              </w:rPr>
              <w:t xml:space="preserve"> надійності та захищеності електронного документообігу та електронної ідентифікації, зокрема з використанням електронних довірчих послуг;</w:t>
            </w:r>
          </w:p>
          <w:p w:rsidR="00DD3933" w:rsidRPr="0076699B" w:rsidRDefault="00F45927" w:rsidP="00F45927">
            <w:pPr>
              <w:pStyle w:val="a5"/>
              <w:spacing w:before="0" w:beforeAutospacing="0" w:after="0" w:afterAutospacing="0"/>
              <w:ind w:firstLine="459"/>
              <w:jc w:val="both"/>
              <w:rPr>
                <w:color w:val="000000"/>
              </w:rPr>
            </w:pPr>
            <w:r w:rsidRPr="0076699B">
              <w:rPr>
                <w:color w:val="000000"/>
              </w:rPr>
              <w:t>інтеграції України в</w:t>
            </w:r>
            <w:r>
              <w:rPr>
                <w:color w:val="000000"/>
              </w:rPr>
              <w:t xml:space="preserve"> світовий інформаційний простір</w:t>
            </w:r>
          </w:p>
        </w:tc>
      </w:tr>
    </w:tbl>
    <w:p w:rsidR="00DB7902" w:rsidRPr="0076699B" w:rsidRDefault="00DB7902" w:rsidP="0098739E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2389"/>
        <w:gridCol w:w="2693"/>
        <w:gridCol w:w="2800"/>
      </w:tblGrid>
      <w:tr w:rsidR="00DB7902" w:rsidRPr="0076699B" w:rsidTr="00215A47">
        <w:tc>
          <w:tcPr>
            <w:tcW w:w="1972" w:type="dxa"/>
            <w:shd w:val="clear" w:color="auto" w:fill="auto"/>
          </w:tcPr>
          <w:p w:rsidR="00DB7902" w:rsidRPr="0076699B" w:rsidRDefault="00DB7902" w:rsidP="0098739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76699B">
              <w:rPr>
                <w:color w:val="000000"/>
              </w:rPr>
              <w:t>Рейтинг результативності</w:t>
            </w:r>
          </w:p>
        </w:tc>
        <w:tc>
          <w:tcPr>
            <w:tcW w:w="2389" w:type="dxa"/>
            <w:shd w:val="clear" w:color="auto" w:fill="auto"/>
          </w:tcPr>
          <w:p w:rsidR="00DB7902" w:rsidRPr="0076699B" w:rsidRDefault="00DB7902" w:rsidP="0098739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76699B">
              <w:rPr>
                <w:color w:val="000000"/>
              </w:rPr>
              <w:t>Вигоди (підсумок)</w:t>
            </w:r>
          </w:p>
        </w:tc>
        <w:tc>
          <w:tcPr>
            <w:tcW w:w="2693" w:type="dxa"/>
            <w:shd w:val="clear" w:color="auto" w:fill="auto"/>
          </w:tcPr>
          <w:p w:rsidR="00DB7902" w:rsidRPr="0076699B" w:rsidRDefault="00DB7902" w:rsidP="0098739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76699B">
              <w:rPr>
                <w:color w:val="000000"/>
              </w:rPr>
              <w:t>Витрати (підсумок)</w:t>
            </w:r>
          </w:p>
        </w:tc>
        <w:tc>
          <w:tcPr>
            <w:tcW w:w="2800" w:type="dxa"/>
            <w:shd w:val="clear" w:color="auto" w:fill="auto"/>
          </w:tcPr>
          <w:p w:rsidR="00DB7902" w:rsidRPr="0076699B" w:rsidRDefault="00DB7902" w:rsidP="0098739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76699B">
              <w:rPr>
                <w:color w:val="000000"/>
              </w:rPr>
              <w:t>Обґрунтування відповідного місця альтернативи у рейтингу</w:t>
            </w:r>
          </w:p>
        </w:tc>
      </w:tr>
      <w:tr w:rsidR="00DB7902" w:rsidRPr="0076699B" w:rsidTr="00215A47">
        <w:trPr>
          <w:trHeight w:val="455"/>
        </w:trPr>
        <w:tc>
          <w:tcPr>
            <w:tcW w:w="1972" w:type="dxa"/>
            <w:shd w:val="clear" w:color="auto" w:fill="auto"/>
          </w:tcPr>
          <w:p w:rsidR="00DB7902" w:rsidRPr="0076699B" w:rsidRDefault="00DB7902" w:rsidP="0098739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76699B">
              <w:rPr>
                <w:color w:val="000000"/>
              </w:rPr>
              <w:t>Альтернатива 1</w:t>
            </w:r>
          </w:p>
          <w:p w:rsidR="00DB7902" w:rsidRPr="0076699B" w:rsidRDefault="00DB7902" w:rsidP="0098739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76699B">
              <w:rPr>
                <w:color w:val="000000"/>
              </w:rPr>
              <w:t xml:space="preserve">Прийняття регуляторного </w:t>
            </w:r>
            <w:proofErr w:type="spellStart"/>
            <w:r w:rsidRPr="0076699B">
              <w:rPr>
                <w:color w:val="000000"/>
              </w:rPr>
              <w:t>акта</w:t>
            </w:r>
            <w:proofErr w:type="spellEnd"/>
          </w:p>
        </w:tc>
        <w:tc>
          <w:tcPr>
            <w:tcW w:w="2389" w:type="dxa"/>
            <w:shd w:val="clear" w:color="auto" w:fill="auto"/>
          </w:tcPr>
          <w:p w:rsidR="004C0F6F" w:rsidRDefault="00DB7902" w:rsidP="004C0F6F">
            <w:pPr>
              <w:pStyle w:val="a5"/>
              <w:spacing w:before="0" w:beforeAutospacing="0" w:after="0" w:afterAutospacing="0"/>
              <w:ind w:firstLine="459"/>
              <w:jc w:val="both"/>
              <w:rPr>
                <w:color w:val="000000"/>
              </w:rPr>
            </w:pPr>
            <w:r w:rsidRPr="0076699B">
              <w:rPr>
                <w:color w:val="000000"/>
              </w:rPr>
              <w:t xml:space="preserve">Вигоди пов’язані з </w:t>
            </w:r>
            <w:r w:rsidR="004C0F6F" w:rsidRPr="0076699B">
              <w:rPr>
                <w:color w:val="000000"/>
              </w:rPr>
              <w:t>наближенням до законодавства та стандартів Європейського Союзу в сф</w:t>
            </w:r>
            <w:r w:rsidR="004C0F6F">
              <w:rPr>
                <w:color w:val="000000"/>
              </w:rPr>
              <w:t>ері електронних довірчих послуг;</w:t>
            </w:r>
          </w:p>
          <w:p w:rsidR="004C0F6F" w:rsidRDefault="004C0F6F" w:rsidP="004C0F6F">
            <w:pPr>
              <w:pStyle w:val="a5"/>
              <w:spacing w:before="0" w:beforeAutospacing="0" w:after="0" w:afterAutospacing="0"/>
              <w:ind w:firstLine="459"/>
              <w:jc w:val="both"/>
              <w:rPr>
                <w:color w:val="000000"/>
              </w:rPr>
            </w:pPr>
            <w:r w:rsidRPr="0076699B">
              <w:rPr>
                <w:color w:val="000000"/>
              </w:rPr>
              <w:t>удосконалення</w:t>
            </w:r>
            <w:r>
              <w:rPr>
                <w:color w:val="000000"/>
              </w:rPr>
              <w:t>м</w:t>
            </w:r>
            <w:r w:rsidRPr="0076699B">
              <w:rPr>
                <w:color w:val="000000"/>
              </w:rPr>
              <w:t xml:space="preserve"> механізму проведення процедури оцінки відповідності вимогам до кваліфікованих надавачів електронних довірчих послуг та </w:t>
            </w:r>
            <w:r w:rsidRPr="0076699B">
              <w:rPr>
                <w:color w:val="000000"/>
              </w:rPr>
              <w:lastRenderedPageBreak/>
              <w:t>послуг, що ними надаються</w:t>
            </w:r>
          </w:p>
          <w:p w:rsidR="00DB7902" w:rsidRPr="0076699B" w:rsidRDefault="00DB7902" w:rsidP="004C0F6F">
            <w:pPr>
              <w:pStyle w:val="a5"/>
              <w:spacing w:before="0" w:beforeAutospacing="0" w:after="0" w:afterAutospacing="0"/>
              <w:ind w:firstLine="459"/>
              <w:jc w:val="both"/>
              <w:rPr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DB7902" w:rsidRPr="0076699B" w:rsidRDefault="00DB7902" w:rsidP="0098739E">
            <w:pPr>
              <w:pStyle w:val="a5"/>
              <w:spacing w:before="0" w:beforeAutospacing="0" w:after="0" w:afterAutospacing="0"/>
              <w:ind w:firstLine="459"/>
              <w:jc w:val="both"/>
              <w:rPr>
                <w:color w:val="000000"/>
              </w:rPr>
            </w:pPr>
            <w:r w:rsidRPr="0076699B">
              <w:rPr>
                <w:color w:val="000000"/>
              </w:rPr>
              <w:lastRenderedPageBreak/>
              <w:t>Витрати відсутні</w:t>
            </w:r>
          </w:p>
        </w:tc>
        <w:tc>
          <w:tcPr>
            <w:tcW w:w="2800" w:type="dxa"/>
            <w:shd w:val="clear" w:color="auto" w:fill="auto"/>
          </w:tcPr>
          <w:p w:rsidR="00DB7902" w:rsidRPr="0076699B" w:rsidRDefault="002C1A66" w:rsidP="002C1A66">
            <w:pPr>
              <w:pStyle w:val="a5"/>
              <w:spacing w:before="0" w:beforeAutospacing="0" w:after="0" w:afterAutospacing="0"/>
              <w:ind w:firstLine="459"/>
              <w:jc w:val="both"/>
              <w:rPr>
                <w:color w:val="000000"/>
              </w:rPr>
            </w:pPr>
            <w:r w:rsidRPr="0063525A">
              <w:t>Цілі, визначені стратегічним документами досягнуті</w:t>
            </w:r>
          </w:p>
        </w:tc>
      </w:tr>
      <w:tr w:rsidR="002C1A66" w:rsidRPr="0076699B" w:rsidTr="00215A47">
        <w:trPr>
          <w:trHeight w:val="455"/>
        </w:trPr>
        <w:tc>
          <w:tcPr>
            <w:tcW w:w="1972" w:type="dxa"/>
            <w:shd w:val="clear" w:color="auto" w:fill="auto"/>
          </w:tcPr>
          <w:p w:rsidR="002C1A66" w:rsidRPr="0076699B" w:rsidRDefault="002C1A66" w:rsidP="002C1A66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76699B">
              <w:rPr>
                <w:color w:val="000000"/>
              </w:rPr>
              <w:t>Альтернатива 2</w:t>
            </w:r>
          </w:p>
          <w:p w:rsidR="002C1A66" w:rsidRPr="0076699B" w:rsidRDefault="002C1A66" w:rsidP="002C1A66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76699B">
              <w:rPr>
                <w:color w:val="000000"/>
              </w:rPr>
              <w:t>Відсутність регулювання</w:t>
            </w:r>
          </w:p>
        </w:tc>
        <w:tc>
          <w:tcPr>
            <w:tcW w:w="2389" w:type="dxa"/>
            <w:shd w:val="clear" w:color="auto" w:fill="auto"/>
          </w:tcPr>
          <w:p w:rsidR="002C1A66" w:rsidRPr="0076699B" w:rsidRDefault="002C1A66" w:rsidP="002C1A66">
            <w:pPr>
              <w:pStyle w:val="a5"/>
              <w:spacing w:before="0" w:beforeAutospacing="0" w:after="0" w:afterAutospacing="0"/>
              <w:ind w:firstLine="459"/>
              <w:jc w:val="both"/>
              <w:rPr>
                <w:color w:val="000000"/>
              </w:rPr>
            </w:pPr>
            <w:r w:rsidRPr="0063525A">
              <w:t xml:space="preserve">Відсутність регулювання означає залишення існуючого стану справ, що не передбачає жодних </w:t>
            </w:r>
            <w:proofErr w:type="spellStart"/>
            <w:r w:rsidRPr="0063525A">
              <w:t>вигод</w:t>
            </w:r>
            <w:proofErr w:type="spellEnd"/>
            <w:r w:rsidRPr="0063525A">
              <w:t xml:space="preserve"> для держави та суб’єктів господарювання</w:t>
            </w:r>
          </w:p>
        </w:tc>
        <w:tc>
          <w:tcPr>
            <w:tcW w:w="2693" w:type="dxa"/>
            <w:shd w:val="clear" w:color="auto" w:fill="auto"/>
          </w:tcPr>
          <w:p w:rsidR="002C1A66" w:rsidRDefault="002C1A66" w:rsidP="002C1A66">
            <w:pPr>
              <w:pStyle w:val="a5"/>
              <w:spacing w:before="0" w:beforeAutospacing="0" w:after="0" w:afterAutospacing="0"/>
              <w:ind w:firstLine="459"/>
              <w:jc w:val="both"/>
            </w:pPr>
            <w:r w:rsidRPr="0063525A">
              <w:t>Відсутність регулювання передбачає залишення існуючого стану справ:</w:t>
            </w:r>
          </w:p>
          <w:p w:rsidR="002C1A66" w:rsidRDefault="002C1A66" w:rsidP="002C1A66">
            <w:pPr>
              <w:pStyle w:val="a5"/>
              <w:spacing w:before="0" w:beforeAutospacing="0" w:after="0" w:afterAutospacing="0"/>
              <w:ind w:firstLine="45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дотримання не чинних стандартів під час </w:t>
            </w:r>
            <w:r w:rsidRPr="0076699B">
              <w:rPr>
                <w:color w:val="000000"/>
              </w:rPr>
              <w:t>проведення процедури оцінки відповідності вимогам до кваліфікованих надавачів електронних довірчих послуг та послуг, що ними надаються</w:t>
            </w:r>
            <w:r>
              <w:rPr>
                <w:color w:val="000000"/>
              </w:rPr>
              <w:t>;</w:t>
            </w:r>
          </w:p>
          <w:p w:rsidR="002C1A66" w:rsidRPr="002C1A66" w:rsidRDefault="002C1A66" w:rsidP="002C1A66">
            <w:pPr>
              <w:pStyle w:val="a5"/>
              <w:spacing w:before="0" w:beforeAutospacing="0" w:after="0" w:afterAutospacing="0"/>
              <w:ind w:firstLine="45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відсутність можливості проходження </w:t>
            </w:r>
            <w:r w:rsidRPr="00F3500A">
              <w:rPr>
                <w:color w:val="000000"/>
              </w:rPr>
              <w:t>процедури оцінки відповідності вимогам до кваліфікованих надавачів електронних довірчих послуг та послуг, що ними надаються в іноземному органі з оцінки відповідності</w:t>
            </w:r>
          </w:p>
          <w:p w:rsidR="002C1A66" w:rsidRPr="0076699B" w:rsidRDefault="002C1A66" w:rsidP="002C1A66">
            <w:pPr>
              <w:pStyle w:val="a5"/>
              <w:spacing w:before="0" w:beforeAutospacing="0" w:after="0" w:afterAutospacing="0"/>
              <w:ind w:firstLine="459"/>
              <w:jc w:val="both"/>
              <w:rPr>
                <w:color w:val="000000"/>
              </w:rPr>
            </w:pPr>
          </w:p>
        </w:tc>
        <w:tc>
          <w:tcPr>
            <w:tcW w:w="2800" w:type="dxa"/>
            <w:shd w:val="clear" w:color="auto" w:fill="auto"/>
          </w:tcPr>
          <w:p w:rsidR="002C1A66" w:rsidRPr="0063525A" w:rsidRDefault="002C1A66" w:rsidP="002C1A66">
            <w:pPr>
              <w:pStyle w:val="a5"/>
              <w:spacing w:before="0" w:beforeAutospacing="0" w:after="0" w:afterAutospacing="0"/>
              <w:jc w:val="both"/>
            </w:pPr>
            <w:r w:rsidRPr="0063525A">
              <w:t>Недосягнення цілей, визначених стратегічними документами</w:t>
            </w:r>
          </w:p>
          <w:p w:rsidR="002C1A66" w:rsidRPr="0063525A" w:rsidRDefault="002C1A66" w:rsidP="002C1A66">
            <w:pPr>
              <w:pStyle w:val="a5"/>
              <w:spacing w:before="0" w:beforeAutospacing="0" w:after="0" w:afterAutospacing="0"/>
              <w:jc w:val="both"/>
            </w:pPr>
          </w:p>
        </w:tc>
      </w:tr>
    </w:tbl>
    <w:p w:rsidR="00DB7902" w:rsidRPr="0076699B" w:rsidRDefault="00DB7902" w:rsidP="0098739E">
      <w:pPr>
        <w:pStyle w:val="3"/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DB7902" w:rsidRPr="0076699B" w:rsidRDefault="00DB7902" w:rsidP="0098739E">
      <w:pPr>
        <w:pStyle w:val="3"/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6699B">
        <w:rPr>
          <w:rFonts w:ascii="Times New Roman" w:hAnsi="Times New Roman"/>
          <w:b/>
          <w:color w:val="000000"/>
          <w:sz w:val="28"/>
          <w:szCs w:val="28"/>
          <w:lang w:val="uk-UA"/>
        </w:rPr>
        <w:t>V. Механізми та заходи, які забезпечать розв’язання визначеної проблеми</w:t>
      </w:r>
    </w:p>
    <w:p w:rsidR="00DB7902" w:rsidRPr="0076699B" w:rsidRDefault="00DB7902" w:rsidP="0098739E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699B">
        <w:rPr>
          <w:color w:val="000000"/>
          <w:sz w:val="28"/>
          <w:szCs w:val="28"/>
        </w:rPr>
        <w:t>Основним механізмом, який забезпечує розв’язання визначеної проблеми, є внесення змін до постанов</w:t>
      </w:r>
      <w:r w:rsidR="005E5767">
        <w:rPr>
          <w:color w:val="000000"/>
          <w:sz w:val="28"/>
          <w:szCs w:val="28"/>
        </w:rPr>
        <w:t>и</w:t>
      </w:r>
      <w:r w:rsidRPr="0076699B">
        <w:rPr>
          <w:color w:val="000000"/>
          <w:sz w:val="28"/>
          <w:szCs w:val="28"/>
        </w:rPr>
        <w:t xml:space="preserve"> Кабінету Міністрів України</w:t>
      </w:r>
      <w:r w:rsidR="005E5767">
        <w:rPr>
          <w:color w:val="000000"/>
          <w:sz w:val="28"/>
          <w:szCs w:val="28"/>
        </w:rPr>
        <w:t xml:space="preserve"> </w:t>
      </w:r>
      <w:r w:rsidRPr="0076699B">
        <w:rPr>
          <w:color w:val="000000"/>
          <w:sz w:val="28"/>
          <w:szCs w:val="28"/>
        </w:rPr>
        <w:t>від 18</w:t>
      </w:r>
      <w:r w:rsidR="005E5767">
        <w:rPr>
          <w:color w:val="000000"/>
          <w:sz w:val="28"/>
          <w:szCs w:val="28"/>
        </w:rPr>
        <w:t> </w:t>
      </w:r>
      <w:r w:rsidRPr="0076699B">
        <w:rPr>
          <w:color w:val="000000"/>
          <w:sz w:val="28"/>
          <w:szCs w:val="28"/>
        </w:rPr>
        <w:t>грудня 2018 р. №</w:t>
      </w:r>
      <w:r w:rsidR="00AA5B82">
        <w:rPr>
          <w:color w:val="000000"/>
          <w:sz w:val="28"/>
          <w:szCs w:val="28"/>
        </w:rPr>
        <w:t> </w:t>
      </w:r>
      <w:r w:rsidRPr="0076699B">
        <w:rPr>
          <w:color w:val="000000"/>
          <w:sz w:val="28"/>
          <w:szCs w:val="28"/>
        </w:rPr>
        <w:t>1215 “Про затвердження Порядку проведення процедури оцінки відповідності у сфері електронних довірчих послуг”.</w:t>
      </w:r>
    </w:p>
    <w:p w:rsidR="00DB7902" w:rsidRPr="0076699B" w:rsidRDefault="00DB7902" w:rsidP="0098739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699B">
        <w:rPr>
          <w:rFonts w:ascii="Times New Roman" w:hAnsi="Times New Roman" w:cs="Times New Roman"/>
          <w:color w:val="000000"/>
          <w:sz w:val="28"/>
          <w:szCs w:val="28"/>
        </w:rPr>
        <w:t>Заходами, спрямованими на розв’язання визначеної проблеми є:</w:t>
      </w:r>
    </w:p>
    <w:p w:rsidR="00DB7902" w:rsidRPr="0076699B" w:rsidRDefault="00DB7902" w:rsidP="0098739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699B">
        <w:rPr>
          <w:rFonts w:ascii="Times New Roman" w:hAnsi="Times New Roman" w:cs="Times New Roman"/>
          <w:color w:val="000000"/>
          <w:sz w:val="28"/>
          <w:szCs w:val="28"/>
        </w:rPr>
        <w:t xml:space="preserve">розробка регуляторного </w:t>
      </w:r>
      <w:proofErr w:type="spellStart"/>
      <w:r w:rsidRPr="0076699B">
        <w:rPr>
          <w:rFonts w:ascii="Times New Roman" w:hAnsi="Times New Roman" w:cs="Times New Roman"/>
          <w:color w:val="000000"/>
          <w:sz w:val="28"/>
          <w:szCs w:val="28"/>
        </w:rPr>
        <w:t>акта</w:t>
      </w:r>
      <w:proofErr w:type="spellEnd"/>
      <w:r w:rsidRPr="0076699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B7902" w:rsidRPr="0076699B" w:rsidRDefault="00DB7902" w:rsidP="0098739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699B">
        <w:rPr>
          <w:rFonts w:ascii="Times New Roman" w:hAnsi="Times New Roman" w:cs="Times New Roman"/>
          <w:color w:val="000000"/>
          <w:sz w:val="28"/>
          <w:szCs w:val="28"/>
        </w:rPr>
        <w:t xml:space="preserve">громадське обговорення регуляторного </w:t>
      </w:r>
      <w:proofErr w:type="spellStart"/>
      <w:r w:rsidRPr="0076699B">
        <w:rPr>
          <w:rFonts w:ascii="Times New Roman" w:hAnsi="Times New Roman" w:cs="Times New Roman"/>
          <w:color w:val="000000"/>
          <w:sz w:val="28"/>
          <w:szCs w:val="28"/>
        </w:rPr>
        <w:t>акта</w:t>
      </w:r>
      <w:proofErr w:type="spellEnd"/>
      <w:r w:rsidRPr="0076699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B7902" w:rsidRPr="0076699B" w:rsidRDefault="00DB7902" w:rsidP="0098739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699B">
        <w:rPr>
          <w:rFonts w:ascii="Times New Roman" w:hAnsi="Times New Roman" w:cs="Times New Roman"/>
          <w:color w:val="000000"/>
          <w:sz w:val="28"/>
          <w:szCs w:val="28"/>
        </w:rPr>
        <w:t xml:space="preserve">погодження регуляторного </w:t>
      </w:r>
      <w:proofErr w:type="spellStart"/>
      <w:r w:rsidRPr="0076699B">
        <w:rPr>
          <w:rFonts w:ascii="Times New Roman" w:hAnsi="Times New Roman" w:cs="Times New Roman"/>
          <w:color w:val="000000"/>
          <w:sz w:val="28"/>
          <w:szCs w:val="28"/>
        </w:rPr>
        <w:t>акта</w:t>
      </w:r>
      <w:proofErr w:type="spellEnd"/>
      <w:r w:rsidRPr="0076699B">
        <w:rPr>
          <w:rFonts w:ascii="Times New Roman" w:hAnsi="Times New Roman" w:cs="Times New Roman"/>
          <w:color w:val="000000"/>
          <w:sz w:val="28"/>
          <w:szCs w:val="28"/>
        </w:rPr>
        <w:t xml:space="preserve"> із заінтересованими органами;</w:t>
      </w:r>
    </w:p>
    <w:p w:rsidR="00DB7902" w:rsidRPr="0076699B" w:rsidRDefault="00DB7902" w:rsidP="0098739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699B">
        <w:rPr>
          <w:rFonts w:ascii="Times New Roman" w:hAnsi="Times New Roman" w:cs="Times New Roman"/>
          <w:color w:val="000000"/>
          <w:sz w:val="28"/>
          <w:szCs w:val="28"/>
        </w:rPr>
        <w:t xml:space="preserve">врахування зауважень та пропозицій до регуляторного </w:t>
      </w:r>
      <w:proofErr w:type="spellStart"/>
      <w:r w:rsidRPr="0076699B">
        <w:rPr>
          <w:rFonts w:ascii="Times New Roman" w:hAnsi="Times New Roman" w:cs="Times New Roman"/>
          <w:color w:val="000000"/>
          <w:sz w:val="28"/>
          <w:szCs w:val="28"/>
        </w:rPr>
        <w:t>акта</w:t>
      </w:r>
      <w:proofErr w:type="spellEnd"/>
      <w:r w:rsidRPr="0076699B">
        <w:rPr>
          <w:rFonts w:ascii="Times New Roman" w:hAnsi="Times New Roman" w:cs="Times New Roman"/>
          <w:color w:val="000000"/>
          <w:sz w:val="28"/>
          <w:szCs w:val="28"/>
        </w:rPr>
        <w:t>, наданих фізичними та юридичними особами, зокрема заінтересованими органами;</w:t>
      </w:r>
    </w:p>
    <w:p w:rsidR="00DB7902" w:rsidRPr="0076699B" w:rsidRDefault="00DB7902" w:rsidP="0098739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699B">
        <w:rPr>
          <w:rFonts w:ascii="Times New Roman" w:hAnsi="Times New Roman" w:cs="Times New Roman"/>
          <w:color w:val="000000"/>
          <w:sz w:val="28"/>
          <w:szCs w:val="28"/>
        </w:rPr>
        <w:t xml:space="preserve">подання регуляторного </w:t>
      </w:r>
      <w:proofErr w:type="spellStart"/>
      <w:r w:rsidRPr="0076699B">
        <w:rPr>
          <w:rFonts w:ascii="Times New Roman" w:hAnsi="Times New Roman" w:cs="Times New Roman"/>
          <w:color w:val="000000"/>
          <w:sz w:val="28"/>
          <w:szCs w:val="28"/>
        </w:rPr>
        <w:t>акта</w:t>
      </w:r>
      <w:proofErr w:type="spellEnd"/>
      <w:r w:rsidRPr="0076699B">
        <w:rPr>
          <w:rFonts w:ascii="Times New Roman" w:hAnsi="Times New Roman" w:cs="Times New Roman"/>
          <w:color w:val="000000"/>
          <w:sz w:val="28"/>
          <w:szCs w:val="28"/>
        </w:rPr>
        <w:t xml:space="preserve"> на розгляд Кабінету Міністрів України та його </w:t>
      </w:r>
      <w:r w:rsidRPr="0076699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супровід у Секретаріаті </w:t>
      </w:r>
      <w:r w:rsidRPr="0076699B">
        <w:rPr>
          <w:rFonts w:ascii="Times New Roman" w:hAnsi="Times New Roman" w:cs="Times New Roman"/>
          <w:color w:val="000000"/>
          <w:sz w:val="28"/>
          <w:szCs w:val="28"/>
        </w:rPr>
        <w:t>Кабінету Міністрів України;</w:t>
      </w:r>
    </w:p>
    <w:p w:rsidR="00DB7902" w:rsidRPr="0076699B" w:rsidRDefault="00DB7902" w:rsidP="0098739E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699B">
        <w:rPr>
          <w:color w:val="000000"/>
          <w:sz w:val="28"/>
          <w:szCs w:val="28"/>
        </w:rPr>
        <w:t xml:space="preserve">прийняття регуляторного </w:t>
      </w:r>
      <w:proofErr w:type="spellStart"/>
      <w:r w:rsidRPr="0076699B">
        <w:rPr>
          <w:color w:val="000000"/>
          <w:sz w:val="28"/>
          <w:szCs w:val="28"/>
        </w:rPr>
        <w:t>акта</w:t>
      </w:r>
      <w:proofErr w:type="spellEnd"/>
      <w:r w:rsidRPr="0076699B">
        <w:rPr>
          <w:color w:val="000000"/>
          <w:sz w:val="28"/>
          <w:szCs w:val="28"/>
        </w:rPr>
        <w:t xml:space="preserve"> Кабінетом Міністрів України;</w:t>
      </w:r>
    </w:p>
    <w:p w:rsidR="00DB7902" w:rsidRPr="0076699B" w:rsidRDefault="00DB7902" w:rsidP="0098739E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699B">
        <w:rPr>
          <w:color w:val="000000"/>
          <w:sz w:val="28"/>
          <w:szCs w:val="28"/>
        </w:rPr>
        <w:t xml:space="preserve">реалізація положень регуляторного </w:t>
      </w:r>
      <w:proofErr w:type="spellStart"/>
      <w:r w:rsidRPr="0076699B">
        <w:rPr>
          <w:color w:val="000000"/>
          <w:sz w:val="28"/>
          <w:szCs w:val="28"/>
        </w:rPr>
        <w:t>акта</w:t>
      </w:r>
      <w:proofErr w:type="spellEnd"/>
      <w:r w:rsidRPr="0076699B">
        <w:rPr>
          <w:color w:val="000000"/>
          <w:sz w:val="28"/>
          <w:szCs w:val="28"/>
        </w:rPr>
        <w:t>.</w:t>
      </w:r>
    </w:p>
    <w:p w:rsidR="00DB7902" w:rsidRPr="0076699B" w:rsidRDefault="00DB7902" w:rsidP="0098739E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DB7902" w:rsidRPr="0076699B" w:rsidRDefault="00DB7902" w:rsidP="0098739E">
      <w:pPr>
        <w:pStyle w:val="3"/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6699B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 xml:space="preserve">VI. Оцінка виконання вимог регуляторного </w:t>
      </w:r>
      <w:proofErr w:type="spellStart"/>
      <w:r w:rsidRPr="0076699B">
        <w:rPr>
          <w:rFonts w:ascii="Times New Roman" w:hAnsi="Times New Roman"/>
          <w:b/>
          <w:color w:val="000000"/>
          <w:sz w:val="28"/>
          <w:szCs w:val="28"/>
          <w:lang w:val="uk-UA"/>
        </w:rPr>
        <w:t>акта</w:t>
      </w:r>
      <w:proofErr w:type="spellEnd"/>
      <w:r w:rsidRPr="0076699B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</w:p>
    <w:p w:rsidR="00DB7902" w:rsidRPr="0076699B" w:rsidRDefault="00DB7902" w:rsidP="0098739E">
      <w:pPr>
        <w:pStyle w:val="3"/>
        <w:spacing w:before="0" w:beforeAutospacing="0" w:after="0" w:afterAutospacing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DB7902" w:rsidRPr="0076699B" w:rsidRDefault="00DB7902" w:rsidP="0098739E">
      <w:pPr>
        <w:pStyle w:val="3"/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6699B">
        <w:rPr>
          <w:rFonts w:ascii="Times New Roman" w:hAnsi="Times New Roman"/>
          <w:b/>
          <w:color w:val="000000"/>
          <w:sz w:val="28"/>
          <w:szCs w:val="28"/>
          <w:lang w:val="uk-UA"/>
        </w:rPr>
        <w:t>ТЕСТ</w:t>
      </w:r>
    </w:p>
    <w:p w:rsidR="00DB7902" w:rsidRPr="0076699B" w:rsidRDefault="00DB7902" w:rsidP="0098739E">
      <w:pPr>
        <w:pStyle w:val="3"/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6699B">
        <w:rPr>
          <w:rFonts w:ascii="Times New Roman" w:hAnsi="Times New Roman"/>
          <w:b/>
          <w:color w:val="000000"/>
          <w:sz w:val="28"/>
          <w:szCs w:val="28"/>
          <w:lang w:val="uk-UA"/>
        </w:rPr>
        <w:t>малого підприємництва (М-Тест)</w:t>
      </w:r>
    </w:p>
    <w:p w:rsidR="00DB7902" w:rsidRPr="0076699B" w:rsidRDefault="00DB7902" w:rsidP="0098739E">
      <w:pPr>
        <w:pStyle w:val="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6699B">
        <w:rPr>
          <w:rFonts w:ascii="Times New Roman" w:hAnsi="Times New Roman"/>
          <w:b/>
          <w:color w:val="000000"/>
          <w:sz w:val="28"/>
          <w:szCs w:val="28"/>
          <w:lang w:val="uk-UA"/>
        </w:rPr>
        <w:t>1. Консультації з представниками мікро- та малого підприємництва щодо оцінки впливу регулювання</w:t>
      </w:r>
    </w:p>
    <w:p w:rsidR="00DB7902" w:rsidRPr="0076699B" w:rsidRDefault="00DB7902" w:rsidP="0098739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6699B">
        <w:rPr>
          <w:rFonts w:ascii="Times New Roman" w:hAnsi="Times New Roman" w:cs="Times New Roman"/>
          <w:color w:val="333333"/>
          <w:sz w:val="28"/>
          <w:szCs w:val="28"/>
        </w:rPr>
        <w:t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виконання яких необхідно для здійснення регулювання, проведено розробником у період з 19 серпня 2022 року по 19 жовтня 2022 року.</w:t>
      </w:r>
    </w:p>
    <w:p w:rsidR="00DB7902" w:rsidRPr="0076699B" w:rsidRDefault="00DB7902" w:rsidP="0098739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333333"/>
          <w:sz w:val="10"/>
          <w:szCs w:val="10"/>
        </w:rPr>
      </w:pPr>
    </w:p>
    <w:tbl>
      <w:tblPr>
        <w:tblW w:w="939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060"/>
        <w:gridCol w:w="2043"/>
        <w:gridCol w:w="2592"/>
      </w:tblGrid>
      <w:tr w:rsidR="00DB7902" w:rsidRPr="0076699B" w:rsidTr="00215A47">
        <w:trPr>
          <w:trHeight w:val="3168"/>
        </w:trPr>
        <w:tc>
          <w:tcPr>
            <w:tcW w:w="1701" w:type="dxa"/>
            <w:tcBorders>
              <w:bottom w:val="single" w:sz="4" w:space="0" w:color="000000"/>
            </w:tcBorders>
          </w:tcPr>
          <w:p w:rsidR="00DB7902" w:rsidRPr="0076699B" w:rsidRDefault="00DB7902" w:rsidP="00987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 w:rsidRPr="0076699B">
              <w:rPr>
                <w:rFonts w:ascii="Times New Roman" w:hAnsi="Times New Roman" w:cs="Times New Roman"/>
                <w:b/>
                <w:color w:val="333333"/>
              </w:rPr>
              <w:t>Порядковий номер</w:t>
            </w: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 w:rsidR="00DB7902" w:rsidRPr="0076699B" w:rsidRDefault="00DB7902" w:rsidP="00987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 w:rsidRPr="0076699B">
              <w:rPr>
                <w:rFonts w:ascii="Times New Roman" w:hAnsi="Times New Roman" w:cs="Times New Roman"/>
                <w:b/>
                <w:color w:val="333333"/>
              </w:rPr>
              <w:t>Вид консультації (публічні консультації прямі (круглі столи, наради, робочі зустрічі тощо), інтернет- консультації прямі (інтернет-форуми, соціальні мережі тощо), запити (до підприємців, експертів, науковців тощо)</w:t>
            </w:r>
          </w:p>
        </w:tc>
        <w:tc>
          <w:tcPr>
            <w:tcW w:w="2043" w:type="dxa"/>
            <w:tcBorders>
              <w:bottom w:val="single" w:sz="4" w:space="0" w:color="000000"/>
            </w:tcBorders>
          </w:tcPr>
          <w:p w:rsidR="00DB7902" w:rsidRPr="0076699B" w:rsidRDefault="00DB7902" w:rsidP="00987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 w:rsidRPr="0076699B">
              <w:rPr>
                <w:rFonts w:ascii="Times New Roman" w:hAnsi="Times New Roman" w:cs="Times New Roman"/>
                <w:b/>
                <w:color w:val="333333"/>
              </w:rPr>
              <w:t>Кількість учасників консультацій, осіб</w:t>
            </w:r>
          </w:p>
        </w:tc>
        <w:tc>
          <w:tcPr>
            <w:tcW w:w="2592" w:type="dxa"/>
            <w:tcBorders>
              <w:bottom w:val="single" w:sz="4" w:space="0" w:color="000000"/>
            </w:tcBorders>
          </w:tcPr>
          <w:p w:rsidR="00DB7902" w:rsidRPr="0076699B" w:rsidRDefault="00DB7902" w:rsidP="00987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 w:rsidRPr="0076699B">
              <w:rPr>
                <w:rFonts w:ascii="Times New Roman" w:hAnsi="Times New Roman" w:cs="Times New Roman"/>
                <w:b/>
                <w:color w:val="333333"/>
              </w:rPr>
              <w:t>Основні результати консультацій (опис)</w:t>
            </w:r>
          </w:p>
        </w:tc>
      </w:tr>
      <w:tr w:rsidR="00DB7902" w:rsidRPr="0076699B" w:rsidTr="00215A47">
        <w:trPr>
          <w:trHeight w:val="920"/>
        </w:trPr>
        <w:tc>
          <w:tcPr>
            <w:tcW w:w="1701" w:type="dxa"/>
            <w:tcBorders>
              <w:bottom w:val="single" w:sz="4" w:space="0" w:color="auto"/>
            </w:tcBorders>
          </w:tcPr>
          <w:p w:rsidR="00DB7902" w:rsidRPr="0076699B" w:rsidRDefault="00DB7902" w:rsidP="00987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rFonts w:ascii="Times New Roman" w:hAnsi="Times New Roman" w:cs="Times New Roman"/>
                <w:color w:val="333333"/>
              </w:rPr>
            </w:pPr>
            <w:r w:rsidRPr="0076699B">
              <w:rPr>
                <w:rFonts w:ascii="Times New Roman" w:hAnsi="Times New Roman" w:cs="Times New Roman"/>
                <w:color w:val="333333"/>
              </w:rPr>
              <w:t>1.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DB7902" w:rsidRPr="0076699B" w:rsidRDefault="00DB7902" w:rsidP="00987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2"/>
              </w:tabs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76699B">
              <w:rPr>
                <w:rFonts w:ascii="Times New Roman" w:hAnsi="Times New Roman" w:cs="Times New Roman"/>
                <w:color w:val="333333"/>
              </w:rPr>
              <w:t>Запити до кваліфікованих</w:t>
            </w:r>
          </w:p>
          <w:p w:rsidR="00DB7902" w:rsidRPr="0076699B" w:rsidRDefault="00DB7902" w:rsidP="00987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2"/>
              </w:tabs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76699B">
              <w:rPr>
                <w:rFonts w:ascii="Times New Roman" w:hAnsi="Times New Roman" w:cs="Times New Roman"/>
                <w:color w:val="333333"/>
              </w:rPr>
              <w:t>надавачів електронних</w:t>
            </w:r>
          </w:p>
          <w:p w:rsidR="00DB7902" w:rsidRPr="0076699B" w:rsidRDefault="00DB7902" w:rsidP="00987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2"/>
              </w:tabs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76699B">
              <w:rPr>
                <w:rFonts w:ascii="Times New Roman" w:hAnsi="Times New Roman" w:cs="Times New Roman"/>
                <w:color w:val="333333"/>
              </w:rPr>
              <w:t>довірчих послуг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:rsidR="00DB7902" w:rsidRPr="0076699B" w:rsidRDefault="00DB7902" w:rsidP="00273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5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76699B">
              <w:rPr>
                <w:rFonts w:ascii="Times New Roman" w:hAnsi="Times New Roman" w:cs="Times New Roman"/>
                <w:color w:val="333333"/>
              </w:rPr>
              <w:t>1</w:t>
            </w:r>
            <w:r w:rsidR="00273877">
              <w:rPr>
                <w:rFonts w:ascii="Times New Roman" w:hAnsi="Times New Roman" w:cs="Times New Roman"/>
                <w:color w:val="333333"/>
              </w:rPr>
              <w:t>3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DB7902" w:rsidRPr="0076699B" w:rsidRDefault="00DB7902" w:rsidP="00987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76699B">
              <w:rPr>
                <w:rFonts w:ascii="Times New Roman" w:hAnsi="Times New Roman" w:cs="Times New Roman"/>
                <w:color w:val="333333"/>
              </w:rPr>
              <w:t>Реалізацію</w:t>
            </w:r>
          </w:p>
          <w:p w:rsidR="00DB7902" w:rsidRPr="0076699B" w:rsidRDefault="00DB7902" w:rsidP="00987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76699B">
              <w:rPr>
                <w:rFonts w:ascii="Times New Roman" w:hAnsi="Times New Roman" w:cs="Times New Roman"/>
                <w:color w:val="333333"/>
              </w:rPr>
              <w:t xml:space="preserve">регуляторного </w:t>
            </w:r>
            <w:proofErr w:type="spellStart"/>
            <w:r w:rsidRPr="0076699B">
              <w:rPr>
                <w:rFonts w:ascii="Times New Roman" w:hAnsi="Times New Roman" w:cs="Times New Roman"/>
                <w:color w:val="333333"/>
              </w:rPr>
              <w:t>акта</w:t>
            </w:r>
            <w:proofErr w:type="spellEnd"/>
          </w:p>
          <w:p w:rsidR="00DB7902" w:rsidRPr="0076699B" w:rsidRDefault="00DB7902" w:rsidP="00987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76699B">
              <w:rPr>
                <w:rFonts w:ascii="Times New Roman" w:hAnsi="Times New Roman" w:cs="Times New Roman"/>
                <w:color w:val="333333"/>
              </w:rPr>
              <w:t>підтримано</w:t>
            </w:r>
          </w:p>
        </w:tc>
      </w:tr>
    </w:tbl>
    <w:p w:rsidR="00DB7902" w:rsidRPr="0076699B" w:rsidRDefault="00DB7902" w:rsidP="0098739E">
      <w:pPr>
        <w:pStyle w:val="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6699B">
        <w:rPr>
          <w:rFonts w:ascii="Times New Roman" w:hAnsi="Times New Roman"/>
          <w:b/>
          <w:color w:val="000000"/>
          <w:sz w:val="28"/>
          <w:szCs w:val="28"/>
          <w:lang w:val="uk-UA"/>
        </w:rPr>
        <w:t>2. Вимірювання впливу регулювання на суб’єктів малого підприємництва (мікро- та малі):</w:t>
      </w:r>
    </w:p>
    <w:p w:rsidR="00DB7902" w:rsidRPr="0076699B" w:rsidRDefault="00DB7902" w:rsidP="0098739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99B">
        <w:rPr>
          <w:rFonts w:ascii="Times New Roman" w:hAnsi="Times New Roman" w:cs="Times New Roman"/>
          <w:sz w:val="28"/>
          <w:szCs w:val="28"/>
        </w:rPr>
        <w:t xml:space="preserve">кількість суб’єктів малого підприємництва, на яких поширюється регулювання: </w:t>
      </w:r>
      <w:r w:rsidR="004016B7">
        <w:rPr>
          <w:rFonts w:ascii="Times New Roman" w:hAnsi="Times New Roman" w:cs="Times New Roman"/>
          <w:sz w:val="28"/>
          <w:szCs w:val="28"/>
        </w:rPr>
        <w:t>4</w:t>
      </w:r>
      <w:r w:rsidRPr="0076699B">
        <w:rPr>
          <w:rFonts w:ascii="Times New Roman" w:hAnsi="Times New Roman" w:cs="Times New Roman"/>
          <w:sz w:val="28"/>
          <w:szCs w:val="28"/>
        </w:rPr>
        <w:t>;</w:t>
      </w:r>
    </w:p>
    <w:p w:rsidR="00DB7902" w:rsidRPr="0076699B" w:rsidRDefault="00DB7902" w:rsidP="0098739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99B">
        <w:rPr>
          <w:rFonts w:ascii="Times New Roman" w:hAnsi="Times New Roman" w:cs="Times New Roman"/>
          <w:sz w:val="28"/>
          <w:szCs w:val="28"/>
        </w:rPr>
        <w:t xml:space="preserve">питома вага суб’єктів малого підприємництва у загальній кількості суб’єктів господарювання, на яких проблема справляє вплив: </w:t>
      </w:r>
      <w:r w:rsidR="004016B7">
        <w:rPr>
          <w:rFonts w:ascii="Times New Roman" w:hAnsi="Times New Roman" w:cs="Times New Roman"/>
          <w:sz w:val="28"/>
          <w:szCs w:val="28"/>
        </w:rPr>
        <w:t>30,8</w:t>
      </w:r>
      <w:r w:rsidRPr="0076699B">
        <w:rPr>
          <w:rFonts w:ascii="Times New Roman" w:hAnsi="Times New Roman" w:cs="Times New Roman"/>
          <w:sz w:val="28"/>
          <w:szCs w:val="28"/>
        </w:rPr>
        <w:t>%.</w:t>
      </w:r>
    </w:p>
    <w:p w:rsidR="00DB7902" w:rsidRPr="0076699B" w:rsidRDefault="00DB7902" w:rsidP="0098739E">
      <w:pPr>
        <w:pStyle w:val="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6699B">
        <w:rPr>
          <w:rFonts w:ascii="Times New Roman" w:hAnsi="Times New Roman"/>
          <w:b/>
          <w:color w:val="000000"/>
          <w:sz w:val="28"/>
          <w:szCs w:val="28"/>
          <w:lang w:val="uk-UA"/>
        </w:rPr>
        <w:t>3. Розрахунок витрат суб’єктів малого підприємництва на виконання вимог регулювання</w:t>
      </w:r>
    </w:p>
    <w:p w:rsidR="00DB7902" w:rsidRPr="0076699B" w:rsidRDefault="00DB7902" w:rsidP="0098739E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699B">
        <w:rPr>
          <w:color w:val="000000"/>
          <w:sz w:val="28"/>
          <w:szCs w:val="28"/>
        </w:rPr>
        <w:t>З огляду на відомості, одержані на запит Міністерства цифрової трансформації України від кваліфікованих надавачів електронних довірчих послуг, що є суб’єктами господарювання, витрати суб’єктів малого підприємництва на виконання вимог регулювання, відсутні.</w:t>
      </w:r>
    </w:p>
    <w:p w:rsidR="00DB7902" w:rsidRPr="0076699B" w:rsidRDefault="00DB7902" w:rsidP="00AA66CD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699B">
        <w:rPr>
          <w:color w:val="000000"/>
          <w:sz w:val="28"/>
          <w:szCs w:val="28"/>
        </w:rPr>
        <w:t xml:space="preserve">Відсутність витрат, які виникають внаслідок дії регуляторного </w:t>
      </w:r>
      <w:proofErr w:type="spellStart"/>
      <w:r w:rsidRPr="0076699B">
        <w:rPr>
          <w:color w:val="000000"/>
          <w:sz w:val="28"/>
          <w:szCs w:val="28"/>
        </w:rPr>
        <w:t>акта</w:t>
      </w:r>
      <w:proofErr w:type="spellEnd"/>
      <w:r w:rsidRPr="0076699B">
        <w:rPr>
          <w:color w:val="000000"/>
          <w:sz w:val="28"/>
          <w:szCs w:val="28"/>
        </w:rPr>
        <w:t xml:space="preserve">, пояснюється тим, що </w:t>
      </w:r>
      <w:r w:rsidR="00AA66CD">
        <w:rPr>
          <w:color w:val="000000"/>
          <w:sz w:val="28"/>
          <w:szCs w:val="28"/>
        </w:rPr>
        <w:t xml:space="preserve">регуляторним актом пропонується </w:t>
      </w:r>
      <w:r w:rsidRPr="0076699B">
        <w:rPr>
          <w:color w:val="000000"/>
          <w:sz w:val="28"/>
          <w:szCs w:val="28"/>
        </w:rPr>
        <w:t xml:space="preserve">удосконалити механізм проведення процедури оцінки відповідності вимогам до кваліфікованих надавачів електронних довірчих послуг та послуг, що ними надаються, встановлений Порядком проведення процедури оцінки відповідності у сфері електронних </w:t>
      </w:r>
      <w:r w:rsidRPr="0076699B">
        <w:rPr>
          <w:color w:val="000000"/>
          <w:sz w:val="28"/>
          <w:szCs w:val="28"/>
        </w:rPr>
        <w:lastRenderedPageBreak/>
        <w:t>довірчих послуг, затвердженим постановою Кабінету Міністрів України від 18</w:t>
      </w:r>
      <w:r w:rsidR="00AA66CD">
        <w:rPr>
          <w:color w:val="000000"/>
          <w:sz w:val="28"/>
          <w:szCs w:val="28"/>
        </w:rPr>
        <w:t> </w:t>
      </w:r>
      <w:r w:rsidRPr="0076699B">
        <w:rPr>
          <w:color w:val="000000"/>
          <w:sz w:val="28"/>
          <w:szCs w:val="28"/>
        </w:rPr>
        <w:t>грудня 2018 р. № 1215.</w:t>
      </w:r>
    </w:p>
    <w:p w:rsidR="00DB7902" w:rsidRPr="0076699B" w:rsidRDefault="00DB7902" w:rsidP="009873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99B">
        <w:rPr>
          <w:rFonts w:ascii="Times New Roman" w:hAnsi="Times New Roman" w:cs="Times New Roman"/>
          <w:sz w:val="28"/>
          <w:szCs w:val="28"/>
        </w:rPr>
        <w:t>Слід зауважити, що станом на сьогодні в Україні не здійснюється оцінка відповідності у сфері електронних довірчих послуг з огляду на те, що жодного органу з оцінки відповідності у сфері електронних довірчих послуг не акредитовано відповідно до законодавства у сфері акредитації. Натомість Адміністрацією Державної служби спеціального зв’язку та захисту інформації України проводяться заходи державного нагляду (контролю) за дотриманням вимог законодавства у сфері електронних довірчих послуг відповідно до вимог Закону України «Про основні засади державного нагляду (контролю) у сфері господарської діяльності» та Порядку перевірки дотримання вимог законодавства у сфері електронних довірчих послуг, затвердженого постановою Кабінету Міністрів України від 7 листопада 2018 р. № 992.</w:t>
      </w:r>
    </w:p>
    <w:p w:rsidR="00DB7902" w:rsidRPr="0076699B" w:rsidRDefault="00DB7902" w:rsidP="0098739E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699B">
        <w:rPr>
          <w:color w:val="000000"/>
          <w:sz w:val="28"/>
          <w:szCs w:val="28"/>
        </w:rPr>
        <w:t xml:space="preserve">З огляду на зазначене кваліфіковані надавачі електронних довірчих послуг не вбачають збільшення витрат, пов’язаних з наданням електронних довірчих послуг, у зв’язку з реалізацією положень регуляторного </w:t>
      </w:r>
      <w:proofErr w:type="spellStart"/>
      <w:r w:rsidRPr="0076699B">
        <w:rPr>
          <w:color w:val="000000"/>
          <w:sz w:val="28"/>
          <w:szCs w:val="28"/>
        </w:rPr>
        <w:t>акта</w:t>
      </w:r>
      <w:proofErr w:type="spellEnd"/>
      <w:r w:rsidRPr="0076699B">
        <w:rPr>
          <w:color w:val="000000"/>
          <w:sz w:val="28"/>
          <w:szCs w:val="28"/>
        </w:rPr>
        <w:t>.</w:t>
      </w:r>
    </w:p>
    <w:p w:rsidR="00DB7902" w:rsidRPr="0076699B" w:rsidRDefault="00DB7902" w:rsidP="0098739E">
      <w:pPr>
        <w:pStyle w:val="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6699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Крім того, реалізація положень регуляторного </w:t>
      </w:r>
      <w:proofErr w:type="spellStart"/>
      <w:r w:rsidRPr="0076699B">
        <w:rPr>
          <w:rFonts w:ascii="Times New Roman" w:hAnsi="Times New Roman"/>
          <w:bCs/>
          <w:color w:val="000000"/>
          <w:sz w:val="28"/>
          <w:szCs w:val="28"/>
          <w:lang w:val="uk-UA"/>
        </w:rPr>
        <w:t>акта</w:t>
      </w:r>
      <w:proofErr w:type="spellEnd"/>
      <w:r w:rsidRPr="0076699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не передбачає бюджетних витрат на адміністрування регулювання суб’єктів господарювання.</w:t>
      </w:r>
    </w:p>
    <w:p w:rsidR="00DB7902" w:rsidRPr="0076699B" w:rsidRDefault="00DB7902" w:rsidP="0098739E">
      <w:pPr>
        <w:pStyle w:val="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6699B">
        <w:rPr>
          <w:rFonts w:ascii="Times New Roman" w:hAnsi="Times New Roman"/>
          <w:b/>
          <w:color w:val="000000"/>
          <w:sz w:val="28"/>
          <w:szCs w:val="28"/>
          <w:lang w:val="uk-UA"/>
        </w:rPr>
        <w:t>4. Розроблення коригуючих (пом’якшувальних) заходів для малого підприємництва щодо запропонованого регулювання</w:t>
      </w:r>
    </w:p>
    <w:p w:rsidR="00DB7902" w:rsidRPr="0076699B" w:rsidRDefault="00DB7902" w:rsidP="0098739E">
      <w:pPr>
        <w:pStyle w:val="3"/>
        <w:spacing w:before="0" w:beforeAutospacing="0" w:after="0" w:afterAutospacing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76699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Положення регуляторного </w:t>
      </w:r>
      <w:proofErr w:type="spellStart"/>
      <w:r w:rsidRPr="0076699B">
        <w:rPr>
          <w:rFonts w:ascii="Times New Roman" w:hAnsi="Times New Roman"/>
          <w:bCs/>
          <w:color w:val="000000"/>
          <w:sz w:val="28"/>
          <w:szCs w:val="28"/>
          <w:lang w:val="uk-UA"/>
        </w:rPr>
        <w:t>акта</w:t>
      </w:r>
      <w:proofErr w:type="spellEnd"/>
      <w:r w:rsidRPr="0076699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не передбачають вжиття коригуючих (пом’якшувальних) заходів для малого підприємництва щодо запропонованого регулювання.</w:t>
      </w:r>
    </w:p>
    <w:p w:rsidR="00DB7902" w:rsidRPr="0076699B" w:rsidRDefault="00DB7902" w:rsidP="0098739E">
      <w:pPr>
        <w:pStyle w:val="3"/>
        <w:spacing w:before="0" w:beforeAutospacing="0" w:after="0" w:afterAutospacing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76699B">
        <w:rPr>
          <w:rFonts w:ascii="Times New Roman" w:hAnsi="Times New Roman"/>
          <w:bCs/>
          <w:color w:val="000000"/>
          <w:sz w:val="28"/>
          <w:szCs w:val="28"/>
          <w:lang w:val="uk-UA"/>
        </w:rPr>
        <w:t>З огляду на зазначене компенсаторні механізми, спрямовані на вирівнювання питомої вартості адміністративного навантаження між суб’єктами великого, середнього та малого підприємництва, відсутні.</w:t>
      </w:r>
    </w:p>
    <w:p w:rsidR="00DB7902" w:rsidRPr="0076699B" w:rsidRDefault="00DB7902" w:rsidP="0098739E">
      <w:pPr>
        <w:pStyle w:val="3"/>
        <w:spacing w:before="0" w:beforeAutospacing="0" w:after="0" w:afterAutospacing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76699B">
        <w:rPr>
          <w:rFonts w:ascii="Times New Roman" w:hAnsi="Times New Roman"/>
          <w:bCs/>
          <w:color w:val="000000"/>
          <w:sz w:val="28"/>
          <w:szCs w:val="28"/>
          <w:lang w:val="uk-UA"/>
        </w:rPr>
        <w:t>Враховуючи викладене, повторна оцінка витрат суб’єктів малого підприємництва для скорегованих процедур не проводилася.</w:t>
      </w:r>
    </w:p>
    <w:p w:rsidR="00DB7902" w:rsidRPr="0076699B" w:rsidRDefault="00DB7902" w:rsidP="0098739E">
      <w:pPr>
        <w:pStyle w:val="3"/>
        <w:spacing w:before="0" w:beforeAutospacing="0" w:after="0" w:afterAutospacing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DB7902" w:rsidRPr="0076699B" w:rsidRDefault="00DB7902" w:rsidP="0098739E">
      <w:pPr>
        <w:pStyle w:val="3"/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6699B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VII. Обґрунтування запропонованого строку дії регуляторного </w:t>
      </w:r>
      <w:proofErr w:type="spellStart"/>
      <w:r w:rsidRPr="0076699B">
        <w:rPr>
          <w:rFonts w:ascii="Times New Roman" w:hAnsi="Times New Roman"/>
          <w:b/>
          <w:color w:val="000000"/>
          <w:sz w:val="28"/>
          <w:szCs w:val="28"/>
          <w:lang w:val="uk-UA"/>
        </w:rPr>
        <w:t>акта</w:t>
      </w:r>
      <w:proofErr w:type="spellEnd"/>
    </w:p>
    <w:p w:rsidR="00DB7902" w:rsidRPr="0076699B" w:rsidRDefault="00DB7902" w:rsidP="0098739E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699B">
        <w:rPr>
          <w:color w:val="000000"/>
          <w:sz w:val="28"/>
          <w:szCs w:val="28"/>
        </w:rPr>
        <w:t xml:space="preserve">Строк дії регуляторного </w:t>
      </w:r>
      <w:proofErr w:type="spellStart"/>
      <w:r w:rsidRPr="0076699B">
        <w:rPr>
          <w:color w:val="000000"/>
          <w:sz w:val="28"/>
          <w:szCs w:val="28"/>
        </w:rPr>
        <w:t>акта</w:t>
      </w:r>
      <w:proofErr w:type="spellEnd"/>
      <w:r w:rsidRPr="0076699B">
        <w:rPr>
          <w:color w:val="000000"/>
          <w:sz w:val="28"/>
          <w:szCs w:val="28"/>
        </w:rPr>
        <w:t xml:space="preserve"> не обмежений у часі.</w:t>
      </w:r>
    </w:p>
    <w:p w:rsidR="00DB7902" w:rsidRPr="0076699B" w:rsidRDefault="00DB7902" w:rsidP="0098739E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699B">
        <w:rPr>
          <w:color w:val="000000"/>
          <w:sz w:val="28"/>
          <w:szCs w:val="28"/>
        </w:rPr>
        <w:t xml:space="preserve">Зміна строку дії регуляторного </w:t>
      </w:r>
      <w:proofErr w:type="spellStart"/>
      <w:r w:rsidRPr="0076699B">
        <w:rPr>
          <w:color w:val="000000"/>
          <w:sz w:val="28"/>
          <w:szCs w:val="28"/>
        </w:rPr>
        <w:t>акта</w:t>
      </w:r>
      <w:proofErr w:type="spellEnd"/>
      <w:r w:rsidRPr="0076699B">
        <w:rPr>
          <w:color w:val="000000"/>
          <w:sz w:val="28"/>
          <w:szCs w:val="28"/>
        </w:rPr>
        <w:t xml:space="preserve"> можлива у разі прийняття змін до нього або визнання його таким, що втратив чинність.</w:t>
      </w:r>
    </w:p>
    <w:p w:rsidR="00DB7902" w:rsidRPr="0076699B" w:rsidRDefault="00DB7902" w:rsidP="0098739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699B">
        <w:rPr>
          <w:color w:val="000000"/>
          <w:sz w:val="28"/>
          <w:szCs w:val="28"/>
        </w:rPr>
        <w:t xml:space="preserve">Регуляторний акт набирає чинності </w:t>
      </w:r>
      <w:r w:rsidR="00AA66CD">
        <w:rPr>
          <w:sz w:val="28"/>
          <w:szCs w:val="28"/>
        </w:rPr>
        <w:t>з дня його опублікування.</w:t>
      </w:r>
    </w:p>
    <w:p w:rsidR="00DB7902" w:rsidRPr="0076699B" w:rsidRDefault="00DB7902" w:rsidP="0098739E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B7902" w:rsidRPr="0076699B" w:rsidRDefault="00DB7902" w:rsidP="0098739E">
      <w:pPr>
        <w:pStyle w:val="3"/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6699B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VIII. Визначення показників результативності дії регуляторного </w:t>
      </w:r>
      <w:proofErr w:type="spellStart"/>
      <w:r w:rsidRPr="0076699B">
        <w:rPr>
          <w:rFonts w:ascii="Times New Roman" w:hAnsi="Times New Roman"/>
          <w:b/>
          <w:color w:val="000000"/>
          <w:sz w:val="28"/>
          <w:szCs w:val="28"/>
          <w:lang w:val="uk-UA"/>
        </w:rPr>
        <w:t>акта</w:t>
      </w:r>
      <w:proofErr w:type="spellEnd"/>
    </w:p>
    <w:p w:rsidR="00DB7902" w:rsidRPr="0076699B" w:rsidRDefault="00DB7902" w:rsidP="0098739E">
      <w:pPr>
        <w:pStyle w:val="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6699B">
        <w:rPr>
          <w:rFonts w:ascii="Times New Roman" w:hAnsi="Times New Roman"/>
          <w:color w:val="000000"/>
          <w:sz w:val="28"/>
          <w:szCs w:val="28"/>
          <w:lang w:val="uk-UA"/>
        </w:rPr>
        <w:t xml:space="preserve">Показники результативності дії регуляторного </w:t>
      </w:r>
      <w:proofErr w:type="spellStart"/>
      <w:r w:rsidRPr="0076699B">
        <w:rPr>
          <w:rFonts w:ascii="Times New Roman" w:hAnsi="Times New Roman"/>
          <w:color w:val="000000"/>
          <w:sz w:val="28"/>
          <w:szCs w:val="28"/>
          <w:lang w:val="uk-UA"/>
        </w:rPr>
        <w:t>акта</w:t>
      </w:r>
      <w:proofErr w:type="spellEnd"/>
      <w:r w:rsidRPr="0076699B">
        <w:rPr>
          <w:rFonts w:ascii="Times New Roman" w:hAnsi="Times New Roman"/>
          <w:color w:val="000000"/>
          <w:sz w:val="28"/>
          <w:szCs w:val="28"/>
          <w:lang w:val="uk-UA"/>
        </w:rPr>
        <w:t>:</w:t>
      </w:r>
    </w:p>
    <w:p w:rsidR="00DB7902" w:rsidRPr="0076699B" w:rsidRDefault="00162D21" w:rsidP="0098739E">
      <w:pPr>
        <w:pStyle w:val="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3525A">
        <w:rPr>
          <w:rFonts w:ascii="Times New Roman" w:hAnsi="Times New Roman"/>
          <w:color w:val="auto"/>
          <w:sz w:val="28"/>
          <w:szCs w:val="28"/>
          <w:lang w:val="uk-UA"/>
        </w:rPr>
        <w:t xml:space="preserve">розмір надходжень до державного та місцевих бюджетів і державних цільових фондів, </w:t>
      </w:r>
      <w:proofErr w:type="spellStart"/>
      <w:r w:rsidRPr="0063525A">
        <w:rPr>
          <w:rFonts w:ascii="Times New Roman" w:hAnsi="Times New Roman"/>
          <w:color w:val="auto"/>
          <w:sz w:val="28"/>
          <w:szCs w:val="28"/>
          <w:lang w:val="uk-UA"/>
        </w:rPr>
        <w:t>повʼязаних</w:t>
      </w:r>
      <w:proofErr w:type="spellEnd"/>
      <w:r w:rsidRPr="0063525A">
        <w:rPr>
          <w:rFonts w:ascii="Times New Roman" w:hAnsi="Times New Roman"/>
          <w:color w:val="auto"/>
          <w:sz w:val="28"/>
          <w:szCs w:val="28"/>
          <w:lang w:val="uk-UA"/>
        </w:rPr>
        <w:t xml:space="preserve"> з дією </w:t>
      </w:r>
      <w:proofErr w:type="spellStart"/>
      <w:r w:rsidRPr="0063525A">
        <w:rPr>
          <w:rFonts w:ascii="Times New Roman" w:hAnsi="Times New Roman"/>
          <w:color w:val="auto"/>
          <w:sz w:val="28"/>
          <w:szCs w:val="28"/>
          <w:lang w:val="uk-UA"/>
        </w:rPr>
        <w:t>акта</w:t>
      </w:r>
      <w:proofErr w:type="spellEnd"/>
      <w:r w:rsidRPr="0063525A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не передбачається</w:t>
      </w:r>
      <w:r w:rsidR="00DB7902" w:rsidRPr="0076699B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DB7902" w:rsidRPr="0076699B" w:rsidRDefault="00DB7902" w:rsidP="0098739E">
      <w:pPr>
        <w:pStyle w:val="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6699B">
        <w:rPr>
          <w:rFonts w:ascii="Times New Roman" w:hAnsi="Times New Roman"/>
          <w:color w:val="000000"/>
          <w:sz w:val="28"/>
          <w:szCs w:val="28"/>
          <w:lang w:val="uk-UA"/>
        </w:rPr>
        <w:t xml:space="preserve">кількість суб’єктів господарювання та/або фізичних осіб, на яких поширюватиметься дія </w:t>
      </w:r>
      <w:proofErr w:type="spellStart"/>
      <w:r w:rsidRPr="0076699B">
        <w:rPr>
          <w:rFonts w:ascii="Times New Roman" w:hAnsi="Times New Roman"/>
          <w:color w:val="000000"/>
          <w:sz w:val="28"/>
          <w:szCs w:val="28"/>
          <w:lang w:val="uk-UA"/>
        </w:rPr>
        <w:t>акта</w:t>
      </w:r>
      <w:proofErr w:type="spellEnd"/>
      <w:r w:rsidRPr="0076699B">
        <w:rPr>
          <w:rFonts w:ascii="Times New Roman" w:hAnsi="Times New Roman"/>
          <w:color w:val="000000"/>
          <w:sz w:val="28"/>
          <w:szCs w:val="28"/>
          <w:lang w:val="uk-UA"/>
        </w:rPr>
        <w:t xml:space="preserve"> (1</w:t>
      </w:r>
      <w:r w:rsidR="000557A8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Pr="0076699B">
        <w:rPr>
          <w:rFonts w:ascii="Times New Roman" w:hAnsi="Times New Roman"/>
          <w:color w:val="000000"/>
          <w:sz w:val="28"/>
          <w:szCs w:val="28"/>
          <w:lang w:val="uk-UA"/>
        </w:rPr>
        <w:t xml:space="preserve"> суб’єктів);</w:t>
      </w:r>
    </w:p>
    <w:p w:rsidR="00DB7902" w:rsidRPr="0076699B" w:rsidRDefault="00DB7902" w:rsidP="0098739E">
      <w:pPr>
        <w:pStyle w:val="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6699B">
        <w:rPr>
          <w:rFonts w:ascii="Times New Roman" w:hAnsi="Times New Roman"/>
          <w:color w:val="000000"/>
          <w:sz w:val="28"/>
          <w:szCs w:val="28"/>
          <w:lang w:val="uk-UA"/>
        </w:rPr>
        <w:t xml:space="preserve">розмір коштів і час, що витрачатимуться суб’єктами господарювання та/або фізичними особами, пов’язаними з виконанням вимог </w:t>
      </w:r>
      <w:proofErr w:type="spellStart"/>
      <w:r w:rsidRPr="0076699B">
        <w:rPr>
          <w:rFonts w:ascii="Times New Roman" w:hAnsi="Times New Roman"/>
          <w:color w:val="000000"/>
          <w:sz w:val="28"/>
          <w:szCs w:val="28"/>
          <w:lang w:val="uk-UA"/>
        </w:rPr>
        <w:t>акта</w:t>
      </w:r>
      <w:proofErr w:type="spellEnd"/>
      <w:r w:rsidRPr="0076699B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DB7902" w:rsidRPr="0076699B" w:rsidRDefault="00DB7902" w:rsidP="0098739E">
      <w:pPr>
        <w:pStyle w:val="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6699B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рівень поінформованості суб’єктів господарювання та/або фізичних осіб з основних положень </w:t>
      </w:r>
      <w:proofErr w:type="spellStart"/>
      <w:r w:rsidRPr="0076699B">
        <w:rPr>
          <w:rFonts w:ascii="Times New Roman" w:hAnsi="Times New Roman"/>
          <w:color w:val="000000"/>
          <w:sz w:val="28"/>
          <w:szCs w:val="28"/>
          <w:lang w:val="uk-UA"/>
        </w:rPr>
        <w:t>акта</w:t>
      </w:r>
      <w:proofErr w:type="spellEnd"/>
      <w:r w:rsidRPr="0076699B">
        <w:rPr>
          <w:rFonts w:ascii="Times New Roman" w:hAnsi="Times New Roman"/>
          <w:color w:val="000000"/>
          <w:sz w:val="28"/>
          <w:szCs w:val="28"/>
          <w:lang w:val="uk-UA"/>
        </w:rPr>
        <w:t xml:space="preserve"> (високий, оскільки регуляторний акт розміщено на офіційному веб-сайті Міністерства цифрової трансформації України);</w:t>
      </w:r>
    </w:p>
    <w:p w:rsidR="00DB7902" w:rsidRPr="0076699B" w:rsidRDefault="00DB7902" w:rsidP="0098739E">
      <w:pPr>
        <w:pStyle w:val="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6699B">
        <w:rPr>
          <w:rFonts w:ascii="Times New Roman" w:hAnsi="Times New Roman"/>
          <w:color w:val="000000"/>
          <w:sz w:val="28"/>
          <w:szCs w:val="28"/>
          <w:lang w:val="uk-UA"/>
        </w:rPr>
        <w:t>кількість проведених процедур оцінки відповідності у сфері електронних довірчих послуг;</w:t>
      </w:r>
    </w:p>
    <w:p w:rsidR="00DB7902" w:rsidRPr="0076699B" w:rsidRDefault="00DB7902" w:rsidP="0098739E">
      <w:pPr>
        <w:pStyle w:val="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ar-SA"/>
        </w:rPr>
      </w:pPr>
      <w:r w:rsidRPr="0076699B">
        <w:rPr>
          <w:rFonts w:ascii="Times New Roman" w:hAnsi="Times New Roman"/>
          <w:color w:val="000000"/>
          <w:sz w:val="28"/>
          <w:szCs w:val="28"/>
          <w:lang w:val="uk-UA" w:eastAsia="ar-SA"/>
        </w:rPr>
        <w:t>кількість прийнятих за результатами проведення процедури оцінки відповідності у сфері електронних довірчих послуг органом з оцінки відповідності рішень про відповідність об’єкта оцінки відповідності у повному обсязі вимогам у сфері електронних довірчих послуг;</w:t>
      </w:r>
    </w:p>
    <w:p w:rsidR="00DB7902" w:rsidRPr="0076699B" w:rsidRDefault="00DB7902" w:rsidP="0098739E">
      <w:pPr>
        <w:pStyle w:val="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ar-SA"/>
        </w:rPr>
      </w:pPr>
      <w:r w:rsidRPr="0076699B">
        <w:rPr>
          <w:rFonts w:ascii="Times New Roman" w:hAnsi="Times New Roman"/>
          <w:color w:val="000000"/>
          <w:sz w:val="28"/>
          <w:szCs w:val="28"/>
          <w:lang w:val="uk-UA" w:eastAsia="ar-SA"/>
        </w:rPr>
        <w:t>кількість прийнятих за результатами проведення процедури оцінки відповідності у сфері електронних довірчих послуг органом з оцінки відповідності рішень про невідповідність об’єкта оцінки відповідності вимогам у сфері електронних довірчих послуг.</w:t>
      </w:r>
    </w:p>
    <w:p w:rsidR="00DB7902" w:rsidRPr="0076699B" w:rsidRDefault="00DB7902" w:rsidP="0098739E">
      <w:pPr>
        <w:pStyle w:val="HTML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ar-SA"/>
        </w:rPr>
      </w:pPr>
    </w:p>
    <w:p w:rsidR="00DB7902" w:rsidRPr="0076699B" w:rsidRDefault="00DB7902" w:rsidP="0098739E">
      <w:pPr>
        <w:pStyle w:val="3"/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6699B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IX. Визначення заходів, за допомогою яких здійснюватиметься відстеження результативності дії регуляторного </w:t>
      </w:r>
      <w:proofErr w:type="spellStart"/>
      <w:r w:rsidRPr="0076699B">
        <w:rPr>
          <w:rFonts w:ascii="Times New Roman" w:hAnsi="Times New Roman"/>
          <w:b/>
          <w:color w:val="000000"/>
          <w:sz w:val="28"/>
          <w:szCs w:val="28"/>
          <w:lang w:val="uk-UA"/>
        </w:rPr>
        <w:t>акта</w:t>
      </w:r>
      <w:proofErr w:type="spellEnd"/>
    </w:p>
    <w:p w:rsidR="00DB7902" w:rsidRPr="0076699B" w:rsidRDefault="00DB7902" w:rsidP="0098739E">
      <w:pPr>
        <w:pStyle w:val="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6699B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Відповідно до законодавства здійснюється базове, повторне та періодичне відстеження результативності регуляторного </w:t>
      </w:r>
      <w:proofErr w:type="spellStart"/>
      <w:r w:rsidRPr="0076699B">
        <w:rPr>
          <w:rFonts w:ascii="Times New Roman" w:hAnsi="Times New Roman"/>
          <w:color w:val="000000"/>
          <w:sz w:val="28"/>
          <w:szCs w:val="28"/>
          <w:lang w:val="uk-UA"/>
        </w:rPr>
        <w:t>акта</w:t>
      </w:r>
      <w:proofErr w:type="spellEnd"/>
      <w:r w:rsidRPr="0076699B">
        <w:rPr>
          <w:rFonts w:ascii="Times New Roman" w:hAnsi="Times New Roman"/>
          <w:color w:val="000000"/>
          <w:sz w:val="28"/>
          <w:szCs w:val="28"/>
          <w:lang w:val="uk-UA"/>
        </w:rPr>
        <w:t xml:space="preserve"> у строки, встановлені статтею 10 Закону України «Про засади державної регуляторної політики у сфері господарської діяльності».</w:t>
      </w:r>
    </w:p>
    <w:p w:rsidR="00DB7902" w:rsidRPr="0076699B" w:rsidRDefault="00DB7902" w:rsidP="0098739E">
      <w:pPr>
        <w:pStyle w:val="HTML"/>
        <w:tabs>
          <w:tab w:val="clear" w:pos="916"/>
          <w:tab w:val="left" w:pos="54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6699B">
        <w:rPr>
          <w:rFonts w:ascii="Times New Roman" w:hAnsi="Times New Roman"/>
          <w:color w:val="000000"/>
          <w:sz w:val="28"/>
          <w:szCs w:val="28"/>
          <w:lang w:val="uk-UA"/>
        </w:rPr>
        <w:t xml:space="preserve">Базове відстеження результативності регуляторного </w:t>
      </w:r>
      <w:proofErr w:type="spellStart"/>
      <w:r w:rsidRPr="0076699B">
        <w:rPr>
          <w:rFonts w:ascii="Times New Roman" w:hAnsi="Times New Roman"/>
          <w:color w:val="000000"/>
          <w:sz w:val="28"/>
          <w:szCs w:val="28"/>
          <w:lang w:val="uk-UA"/>
        </w:rPr>
        <w:t>акта</w:t>
      </w:r>
      <w:proofErr w:type="spellEnd"/>
      <w:r w:rsidRPr="0076699B">
        <w:rPr>
          <w:rFonts w:ascii="Times New Roman" w:hAnsi="Times New Roman"/>
          <w:color w:val="000000"/>
          <w:sz w:val="28"/>
          <w:szCs w:val="28"/>
          <w:lang w:val="uk-UA"/>
        </w:rPr>
        <w:t xml:space="preserve"> буде здійснюватися через рік після набрання ним чинності, оскільки планується використовувати статистичний метод відстеження та статистичні дані.</w:t>
      </w:r>
    </w:p>
    <w:p w:rsidR="00DB7902" w:rsidRPr="0076699B" w:rsidRDefault="00DB7902" w:rsidP="0098739E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699B">
        <w:rPr>
          <w:color w:val="000000"/>
          <w:sz w:val="28"/>
          <w:szCs w:val="28"/>
        </w:rPr>
        <w:t>Повторне відстеження планується здійснити через рік після проведення базового відстеження на основі порівняння показників базового та повторного відстеження.</w:t>
      </w:r>
    </w:p>
    <w:p w:rsidR="00DB7902" w:rsidRPr="0076699B" w:rsidRDefault="00DB7902" w:rsidP="0098739E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699B">
        <w:rPr>
          <w:color w:val="000000"/>
          <w:sz w:val="28"/>
          <w:szCs w:val="28"/>
        </w:rPr>
        <w:t xml:space="preserve">Періодичні відстеження планується здійснювати раз на три роки, починаючи з дня проведення повторного відстеження. Установлені показники результативності </w:t>
      </w:r>
      <w:proofErr w:type="spellStart"/>
      <w:r w:rsidRPr="0076699B">
        <w:rPr>
          <w:color w:val="000000"/>
          <w:sz w:val="28"/>
          <w:szCs w:val="28"/>
        </w:rPr>
        <w:t>акта</w:t>
      </w:r>
      <w:proofErr w:type="spellEnd"/>
      <w:r w:rsidRPr="0076699B">
        <w:rPr>
          <w:color w:val="000000"/>
          <w:sz w:val="28"/>
          <w:szCs w:val="28"/>
        </w:rPr>
        <w:t xml:space="preserve"> порівнюватимуться із значеннями аналогічних показників, що встановлені під час повторного відстеження.</w:t>
      </w:r>
    </w:p>
    <w:p w:rsidR="00DB7902" w:rsidRPr="0076699B" w:rsidRDefault="00DB7902" w:rsidP="0098739E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699B">
        <w:rPr>
          <w:color w:val="000000"/>
          <w:sz w:val="28"/>
          <w:szCs w:val="28"/>
        </w:rPr>
        <w:t xml:space="preserve">Джерело даних: статистичні дані, отримані від центрального </w:t>
      </w:r>
      <w:proofErr w:type="spellStart"/>
      <w:r w:rsidRPr="0076699B">
        <w:rPr>
          <w:color w:val="000000"/>
          <w:sz w:val="28"/>
          <w:szCs w:val="28"/>
        </w:rPr>
        <w:t>засвідчувального</w:t>
      </w:r>
      <w:proofErr w:type="spellEnd"/>
      <w:r w:rsidRPr="0076699B">
        <w:rPr>
          <w:color w:val="000000"/>
          <w:sz w:val="28"/>
          <w:szCs w:val="28"/>
        </w:rPr>
        <w:t xml:space="preserve"> органу (Міністерство цифрової трансформації України, державне підприємство «ДІЯ»), контролюючого органу (Адміністрація Державної служби спеціального зв’язку та захисту інформації України) та кваліфікованих надавачів електронних довірчих послуг.</w:t>
      </w:r>
    </w:p>
    <w:p w:rsidR="00DB7902" w:rsidRPr="0076699B" w:rsidRDefault="00DB7902" w:rsidP="0098739E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699B">
        <w:rPr>
          <w:color w:val="000000"/>
          <w:sz w:val="28"/>
          <w:szCs w:val="28"/>
        </w:rPr>
        <w:t xml:space="preserve">Виконавець заходів з відстеження результативності регуляторного </w:t>
      </w:r>
      <w:proofErr w:type="spellStart"/>
      <w:r w:rsidRPr="0076699B">
        <w:rPr>
          <w:color w:val="000000"/>
          <w:sz w:val="28"/>
          <w:szCs w:val="28"/>
        </w:rPr>
        <w:t>акта</w:t>
      </w:r>
      <w:proofErr w:type="spellEnd"/>
      <w:r w:rsidRPr="0076699B">
        <w:rPr>
          <w:color w:val="000000"/>
          <w:sz w:val="28"/>
          <w:szCs w:val="28"/>
        </w:rPr>
        <w:t xml:space="preserve"> – Міністерство цифрової трансформації України.</w:t>
      </w:r>
    </w:p>
    <w:p w:rsidR="00026952" w:rsidRDefault="00026952" w:rsidP="0098739E"/>
    <w:p w:rsidR="00B90775" w:rsidRPr="00EA3C21" w:rsidRDefault="00B90775" w:rsidP="00B90775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B90775" w:rsidRPr="00C70179" w:rsidRDefault="00B90775" w:rsidP="00B9077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C70179">
        <w:rPr>
          <w:rFonts w:ascii="Times New Roman" w:hAnsi="Times New Roman" w:cs="Times New Roman"/>
          <w:b/>
          <w:bCs/>
          <w:sz w:val="28"/>
          <w:szCs w:val="28"/>
        </w:rPr>
        <w:t>Віце-прем’єр-міністр України –</w:t>
      </w:r>
    </w:p>
    <w:p w:rsidR="00B90775" w:rsidRPr="00C70179" w:rsidRDefault="00B90775" w:rsidP="00B9077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C70179">
        <w:rPr>
          <w:rFonts w:ascii="Times New Roman" w:hAnsi="Times New Roman" w:cs="Times New Roman"/>
          <w:b/>
          <w:bCs/>
          <w:sz w:val="28"/>
          <w:szCs w:val="28"/>
        </w:rPr>
        <w:t>Міністр цифрової трансформації</w:t>
      </w:r>
    </w:p>
    <w:p w:rsidR="00B90775" w:rsidRPr="00C70179" w:rsidRDefault="00B90775" w:rsidP="00B90775">
      <w:pPr>
        <w:tabs>
          <w:tab w:val="right" w:pos="9639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C70179">
        <w:rPr>
          <w:rFonts w:ascii="Times New Roman" w:hAnsi="Times New Roman" w:cs="Times New Roman"/>
          <w:b/>
          <w:bCs/>
          <w:sz w:val="28"/>
          <w:szCs w:val="28"/>
        </w:rPr>
        <w:t xml:space="preserve">України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70179">
        <w:rPr>
          <w:rFonts w:ascii="Times New Roman" w:hAnsi="Times New Roman" w:cs="Times New Roman"/>
          <w:b/>
          <w:bCs/>
          <w:sz w:val="28"/>
          <w:szCs w:val="28"/>
        </w:rPr>
        <w:t>Михайло ФЕДОРОВ</w:t>
      </w:r>
    </w:p>
    <w:p w:rsidR="00B90775" w:rsidRDefault="00B90775" w:rsidP="001B6597">
      <w:pPr>
        <w:jc w:val="both"/>
      </w:pPr>
      <w:r w:rsidRPr="00C70179">
        <w:rPr>
          <w:rFonts w:ascii="Times New Roman" w:hAnsi="Times New Roman" w:cs="Times New Roman"/>
          <w:sz w:val="28"/>
          <w:szCs w:val="28"/>
        </w:rPr>
        <w:t>____ __________ 2022 р.</w:t>
      </w:r>
    </w:p>
    <w:sectPr w:rsidR="00B90775" w:rsidSect="001B6597">
      <w:headerReference w:type="default" r:id="rId8"/>
      <w:footerReference w:type="default" r:id="rId9"/>
      <w:footerReference w:type="first" r:id="rId10"/>
      <w:pgSz w:w="11906" w:h="16838"/>
      <w:pgMar w:top="1440" w:right="56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5EAA" w:rsidRDefault="007C5EAA">
      <w:r>
        <w:separator/>
      </w:r>
    </w:p>
  </w:endnote>
  <w:endnote w:type="continuationSeparator" w:id="0">
    <w:p w:rsidR="007C5EAA" w:rsidRDefault="007C5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7D61" w:rsidRDefault="00917531" w:rsidP="00E37D61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D3D8A0" wp14:editId="232A53C2">
              <wp:simplePos x="0" y="0"/>
              <wp:positionH relativeFrom="margin">
                <wp:align>left</wp:align>
              </wp:positionH>
              <wp:positionV relativeFrom="paragraph">
                <wp:posOffset>558799</wp:posOffset>
              </wp:positionV>
              <wp:extent cx="6551930" cy="27622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1930" cy="276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7D61" w:rsidRPr="000D2806" w:rsidRDefault="00000000" w:rsidP="00E37D61">
                          <w:pPr>
                            <w:tabs>
                              <w:tab w:val="right" w:pos="10206"/>
                            </w:tabs>
                            <w:rPr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D3D8A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44pt;width:515.9pt;height:21.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" stroked="f">
              <v:fill opacity="0"/>
              <v:textbox inset="0,0,0,0">
                <w:txbxContent>
                  <w:p w:rsidR="00E37D61" w:rsidRPr="000D2806" w:rsidRDefault="007F539B" w:rsidP="00E37D61">
                    <w:pPr>
                      <w:tabs>
                        <w:tab w:val="right" w:pos="10206"/>
                      </w:tabs>
                      <w:rPr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6597" w:rsidRDefault="001B6597">
    <w:pPr>
      <w:pStyle w:val="a3"/>
    </w:pPr>
  </w:p>
  <w:p w:rsidR="001B6597" w:rsidRDefault="001B6597">
    <w:pPr>
      <w:pStyle w:val="a3"/>
    </w:pPr>
  </w:p>
  <w:p w:rsidR="001B6597" w:rsidRDefault="001B6597">
    <w:pPr>
      <w:pStyle w:val="a3"/>
    </w:pPr>
  </w:p>
  <w:p w:rsidR="001B6597" w:rsidRDefault="001B659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5EAA" w:rsidRDefault="007C5EAA">
      <w:r>
        <w:separator/>
      </w:r>
    </w:p>
  </w:footnote>
  <w:footnote w:type="continuationSeparator" w:id="0">
    <w:p w:rsidR="007C5EAA" w:rsidRDefault="007C5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773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B6597" w:rsidRPr="001B6597" w:rsidRDefault="001B6597" w:rsidP="001B6597">
        <w:pPr>
          <w:pStyle w:val="a9"/>
          <w:jc w:val="center"/>
          <w:rPr>
            <w:rFonts w:ascii="Times New Roman" w:hAnsi="Times New Roman" w:cs="Times New Roman"/>
          </w:rPr>
        </w:pPr>
        <w:r w:rsidRPr="001B6597">
          <w:rPr>
            <w:rFonts w:ascii="Times New Roman" w:hAnsi="Times New Roman" w:cs="Times New Roman"/>
          </w:rPr>
          <w:fldChar w:fldCharType="begin"/>
        </w:r>
        <w:r w:rsidRPr="001B6597">
          <w:rPr>
            <w:rFonts w:ascii="Times New Roman" w:hAnsi="Times New Roman" w:cs="Times New Roman"/>
          </w:rPr>
          <w:instrText>PAGE   \* MERGEFORMAT</w:instrText>
        </w:r>
        <w:r w:rsidRPr="001B6597">
          <w:rPr>
            <w:rFonts w:ascii="Times New Roman" w:hAnsi="Times New Roman" w:cs="Times New Roman"/>
          </w:rPr>
          <w:fldChar w:fldCharType="separate"/>
        </w:r>
        <w:r w:rsidR="00ED2528" w:rsidRPr="00ED2528">
          <w:rPr>
            <w:rFonts w:ascii="Times New Roman" w:hAnsi="Times New Roman" w:cs="Times New Roman"/>
            <w:noProof/>
            <w:lang w:val="ru-RU"/>
          </w:rPr>
          <w:t>10</w:t>
        </w:r>
        <w:r w:rsidRPr="001B6597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902"/>
    <w:rsid w:val="00026952"/>
    <w:rsid w:val="0003412D"/>
    <w:rsid w:val="000557A8"/>
    <w:rsid w:val="000E31AE"/>
    <w:rsid w:val="00162D21"/>
    <w:rsid w:val="001708FF"/>
    <w:rsid w:val="001B6597"/>
    <w:rsid w:val="00273877"/>
    <w:rsid w:val="002C1A66"/>
    <w:rsid w:val="002D139E"/>
    <w:rsid w:val="00397263"/>
    <w:rsid w:val="004016B7"/>
    <w:rsid w:val="0043198D"/>
    <w:rsid w:val="0046744E"/>
    <w:rsid w:val="004B0E91"/>
    <w:rsid w:val="004C0F6F"/>
    <w:rsid w:val="004F4600"/>
    <w:rsid w:val="0055788B"/>
    <w:rsid w:val="005E5767"/>
    <w:rsid w:val="00720733"/>
    <w:rsid w:val="00756726"/>
    <w:rsid w:val="007645ED"/>
    <w:rsid w:val="007C5EAA"/>
    <w:rsid w:val="007F08C0"/>
    <w:rsid w:val="007F539B"/>
    <w:rsid w:val="0085094E"/>
    <w:rsid w:val="00917531"/>
    <w:rsid w:val="00923ADE"/>
    <w:rsid w:val="0098739E"/>
    <w:rsid w:val="009D21A0"/>
    <w:rsid w:val="00A07725"/>
    <w:rsid w:val="00AA5B82"/>
    <w:rsid w:val="00AA66CD"/>
    <w:rsid w:val="00B01FBA"/>
    <w:rsid w:val="00B32D5A"/>
    <w:rsid w:val="00B8715F"/>
    <w:rsid w:val="00B90775"/>
    <w:rsid w:val="00BB182E"/>
    <w:rsid w:val="00D1265C"/>
    <w:rsid w:val="00D169CF"/>
    <w:rsid w:val="00D70884"/>
    <w:rsid w:val="00D80CD2"/>
    <w:rsid w:val="00DB7902"/>
    <w:rsid w:val="00DD3933"/>
    <w:rsid w:val="00ED2528"/>
    <w:rsid w:val="00F2147A"/>
    <w:rsid w:val="00F3500A"/>
    <w:rsid w:val="00F4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9FA33-106A-45F1-9510-E0720A1B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902"/>
    <w:pPr>
      <w:spacing w:after="0" w:line="240" w:lineRule="auto"/>
    </w:pPr>
    <w:rPr>
      <w:sz w:val="24"/>
      <w:szCs w:val="24"/>
      <w:lang w:val="uk-UA"/>
    </w:rPr>
  </w:style>
  <w:style w:type="paragraph" w:styleId="3">
    <w:name w:val="heading 3"/>
    <w:basedOn w:val="a"/>
    <w:link w:val="30"/>
    <w:uiPriority w:val="9"/>
    <w:qFormat/>
    <w:rsid w:val="00DB7902"/>
    <w:pPr>
      <w:spacing w:before="100" w:beforeAutospacing="1" w:after="100" w:afterAutospacing="1"/>
      <w:outlineLvl w:val="2"/>
    </w:pPr>
    <w:rPr>
      <w:rFonts w:ascii="Calibri Light" w:eastAsia="Times New Roman" w:hAnsi="Calibri Light" w:cs="Times New Roman"/>
      <w:color w:val="1F4D7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B7902"/>
    <w:rPr>
      <w:rFonts w:ascii="Calibri Light" w:eastAsia="Times New Roman" w:hAnsi="Calibri Light" w:cs="Times New Roman"/>
      <w:color w:val="1F4D78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unhideWhenUsed/>
    <w:rsid w:val="00DB7902"/>
    <w:pPr>
      <w:tabs>
        <w:tab w:val="center" w:pos="4513"/>
        <w:tab w:val="right" w:pos="9026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DB7902"/>
    <w:rPr>
      <w:sz w:val="24"/>
      <w:szCs w:val="24"/>
      <w:lang w:val="uk-UA"/>
    </w:rPr>
  </w:style>
  <w:style w:type="paragraph" w:styleId="a5">
    <w:name w:val="Normal (Web)"/>
    <w:basedOn w:val="a"/>
    <w:link w:val="a6"/>
    <w:uiPriority w:val="99"/>
    <w:unhideWhenUsed/>
    <w:rsid w:val="00DB790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TML">
    <w:name w:val="HTML Preformatted"/>
    <w:basedOn w:val="a"/>
    <w:link w:val="HTML0"/>
    <w:rsid w:val="00DB79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sz w:val="21"/>
      <w:szCs w:val="21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DB7902"/>
    <w:rPr>
      <w:rFonts w:ascii="Courier New" w:eastAsia="Times New Roman" w:hAnsi="Courier New" w:cs="Times New Roman"/>
      <w:sz w:val="21"/>
      <w:szCs w:val="21"/>
      <w:lang w:val="ru-RU" w:eastAsia="ru-RU"/>
    </w:rPr>
  </w:style>
  <w:style w:type="character" w:styleId="a7">
    <w:name w:val="Hyperlink"/>
    <w:uiPriority w:val="99"/>
    <w:unhideWhenUsed/>
    <w:rsid w:val="00DB7902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98739E"/>
    <w:pPr>
      <w:ind w:left="720"/>
      <w:contextualSpacing/>
    </w:pPr>
  </w:style>
  <w:style w:type="character" w:customStyle="1" w:styleId="a6">
    <w:name w:val="Звичайний (веб) Знак"/>
    <w:link w:val="a5"/>
    <w:uiPriority w:val="99"/>
    <w:locked/>
    <w:rsid w:val="009D21A0"/>
    <w:rPr>
      <w:rFonts w:ascii="Times New Roman" w:eastAsia="Times New Roman" w:hAnsi="Times New Roman" w:cs="Times New Roman"/>
      <w:sz w:val="24"/>
      <w:szCs w:val="24"/>
      <w:lang w:val="uk-UA" w:eastAsia="en-GB"/>
    </w:rPr>
  </w:style>
  <w:style w:type="paragraph" w:styleId="a9">
    <w:name w:val="header"/>
    <w:basedOn w:val="a"/>
    <w:link w:val="aa"/>
    <w:uiPriority w:val="99"/>
    <w:unhideWhenUsed/>
    <w:rsid w:val="001B6597"/>
    <w:pPr>
      <w:tabs>
        <w:tab w:val="center" w:pos="4844"/>
        <w:tab w:val="right" w:pos="968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1B6597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czo.gov.ua/ca-registr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zo.gov.ua/trustedlis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13908</Words>
  <Characters>7928</Characters>
  <Application>Microsoft Office Word</Application>
  <DocSecurity>0</DocSecurity>
  <Lines>66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2022-12-16T14:17:00Z</dcterms:created>
  <dcterms:modified xsi:type="dcterms:W3CDTF">2022-12-16T14:17:00Z</dcterms:modified>
</cp:coreProperties>
</file>