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ПОЯСНЮВАЛЬНА ЗАПИСКА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до проекту </w:t>
      </w:r>
      <w:bookmarkStart w:colFirst="0" w:colLast="0" w:name="bookmark=id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постанови Кабінету Міністрів України “Деякі питання щодо впровадження електронних експлуатаційних документів, що містять гарантійні зобов’язання виробника”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0"/>
        </w:tabs>
        <w:ind w:left="720" w:hanging="10.999999999999943"/>
        <w:rPr>
          <w:b w:val="1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Мета </w:t>
      </w:r>
    </w:p>
    <w:p w:rsidR="00000000" w:rsidDel="00000000" w:rsidP="00000000" w:rsidRDefault="00000000" w:rsidRPr="00000000" w14:paraId="00000005">
      <w:pPr>
        <w:tabs>
          <w:tab w:val="left" w:pos="916"/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Проект постанови розроблено з метою впровадження принципу “держава без паперу (paperless)”.</w:t>
      </w:r>
    </w:p>
    <w:p w:rsidR="00000000" w:rsidDel="00000000" w:rsidP="00000000" w:rsidRDefault="00000000" w:rsidRPr="00000000" w14:paraId="00000006">
      <w:pPr>
        <w:tabs>
          <w:tab w:val="left" w:pos="916"/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0"/>
        </w:tabs>
        <w:ind w:left="720" w:hanging="10.999999999999943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Обґрунтування необхідності прийняття акта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sz w:val="28"/>
          <w:szCs w:val="28"/>
        </w:rPr>
      </w:pPr>
      <w:bookmarkStart w:colFirst="0" w:colLast="0" w:name="_heading=h.gjdgxs" w:id="2"/>
      <w:bookmarkEnd w:id="2"/>
      <w:r w:rsidDel="00000000" w:rsidR="00000000" w:rsidRPr="00000000">
        <w:rPr>
          <w:sz w:val="28"/>
          <w:szCs w:val="28"/>
          <w:rtl w:val="0"/>
        </w:rPr>
        <w:t xml:space="preserve">У зв’язку з прийняттям Верховною Радою України Закону України від 01.07.2021 № 1603-IX “Про внесення змін до Закону України “Про захист прав споживачів” щодо гарантійних зобов’язань в електронному вигляді” необхідно привести у відповідність Порядок гарантійного ремонту (обслуговування) або гарантійної заміни технічно складних побутових товарів, затверджений постановою Кабінету Міністрів України від 11 квітня 2002 р. № 506.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даний момент виробники (імпортери) та продавці технічно складних побутових товарів мають обов’язок оформлювати гарантійні зобов’язання, гарантійні талони, відривні талони на технічне обслуговування, гарантійний ремонт та введення в експлуатацію таких товарів у паперовій формі та відповідно до вимог ГОСТу 2.601-95 «Эксплуатационные документы».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Такі вимоги наразі є надмірним тягарем для суб’єктів підприємницької діяльності, оскільки змушують дублювати інформацію з електронних систем виробника (продавця). Зокрема, паперові відривні талони наразі не використовуються суб’єктами підприємницької діяльності (виробниками та сервісними центрами) для засвідчення проведених дій з обслуговування, ремонту чи введення в експлуатацію, через незручність паперової форми, легкість підробки документу та наявність у електронних системах виробника (продавця) достовірної інформації про дату та час продажу товарів, а також інформації про обслуговування таких товарів у авторизованих сервісних центрах. У зв’язку з переліченим, чинні вимоги до оформлення гарантійних зобов’язань потребують перегляду.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Обсяг поставок мобільних телефонів в Україну (з огляду на пристрої голосового зв’язку і смартфони) в 2020 р. склав 6,9 млн. шт., що на 5,9% більше, ніж в 2019 р. У 2021 році очікується, що кількість смартфонів подолає позначку 7 млн. шт і зросте на 1.9%. Аналогічна ситуація спостерігається і на ринку побутової техніки – продажі у 2020 році зросли майже на 20%, проти 2019 року, до 106,5 млрд грн.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Водночас за оцінками експертів близько 40% ринку працює «в тіні», що призводить до таких наслідків: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6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споживачів: попри наявність великого вибору надавачів послуг та низьку вартість товару в багатьох випадках споживачі не отримують гарантійного обслуговування саме через придбання товару на тіньовому ринку;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6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держави: недоотримання податків через реалізацію товару на тіньовому ринку;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6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виробників та легальних імпортерів товарів: сірий імпорт продукції в країну є дуже значний. Частка контрабанди на ринку пласких панельних телевізорів становить 9-10%, холодильників і пральних машин - 10-15%, пилососів - 16-18%, телефонів, смартфонів і ноутбуків - 15-20%, планшетів - 20%, фотокамер - 20-25%. В окремих марок, цей показник може сягати навіть 60%.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6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Одним із варіантів боротьби з контрабандою та мотивацією покупців купувати товари в продавців, які легально працюють на ринку, є гарантія. Так, спрощення процедури оформлення гарантійних зобов’язань, зручність для споживача в отриманні інформації про такі зобов’язання може спонукати споживача купувати товари саме на “білому” ринку.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  <w:tab w:val="left" w:pos="916"/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10.999999999999943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Основні положення проекту акта</w:t>
      </w:r>
    </w:p>
    <w:p w:rsidR="00000000" w:rsidDel="00000000" w:rsidP="00000000" w:rsidRDefault="00000000" w:rsidRPr="00000000" w14:paraId="00000013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Проектом акта пропонується привести у відповідність до закону Порядок гарантійного ремонту (обслуговування) або гарантійної заміни технічно складних побутових товарів, затверджений постановою Кабінету Міністрів України від 11 квітня 2002 р. № 506, доповнивши його новим розділом “Особливості продажу товарів з електронними експлуатаційними документами, що містять гарантійні зобов’язання виробника”. Зокрема пропонується: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впровадити надання гарантії в електронній формі, ознайомитися з якою споживач може шляхом введення серійного номеру товару на офіційному веб-сайті виробника або в системі електронного документообігу гарантійних документів, ведення якої забезпечує виробник (імпортер).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  <w:tab w:val="left" w:pos="916"/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гарантувати право споживача на доступ до інформації про гарантійні зобов’язання споживача шляхом розміщення на упаковці QR-коду або гіперпосилання на систему електронного документообігу гарантійних документів виробника, в якій споживач може ознайомитися з актуальною інформацією про гарантійні зобов’язання.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  <w:tab w:val="left" w:pos="916"/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  <w:tab w:val="left" w:pos="916"/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 xml:space="preserve">4. Правові аспекти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Основними нормативно-правовими актами у цій сфері правового регулювання є Цивільний кодекс України, Закон України “Про захист прав споживачів”, постанови Кабінету Міністрів України від 11 квітня 2002 р № 506 “Про затвердження Порядку гарантійного ремонту (обслуговування) або гарантійної заміни технічно складних побутових товарів”, від 16 березня </w:t>
        <w:br w:type="textWrapping"/>
        <w:t xml:space="preserve">2017 р № 231 “Про затвердження переліку груп технічно складних побутових товарів, які підлягають гарантійному ремонту (обслуговуванню) або гарантійній заміні, в цілях застосування реєстраторів розрахункових операцій”.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Фінансово-економічне обґрунтування</w:t>
      </w:r>
    </w:p>
    <w:p w:rsidR="00000000" w:rsidDel="00000000" w:rsidP="00000000" w:rsidRDefault="00000000" w:rsidRPr="00000000" w14:paraId="0000001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Реалізація акта не потребує фінансування з державного чи місцевих бюджетів.</w:t>
      </w:r>
    </w:p>
    <w:p w:rsidR="00000000" w:rsidDel="00000000" w:rsidP="00000000" w:rsidRDefault="00000000" w:rsidRPr="00000000" w14:paraId="0000001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6. Позиція заінтересованих сторін</w:t>
      </w:r>
    </w:p>
    <w:p w:rsidR="00000000" w:rsidDel="00000000" w:rsidP="00000000" w:rsidRDefault="00000000" w:rsidRPr="00000000" w14:paraId="0000001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Проєкт акта потребує проведення консультацій та обговорення з громадськістю та розміщується на офіційному веб-сайті Міністерства цифрової трансформації України https://thedigital.gov.ua/ для громадського обговорення.</w:t>
      </w:r>
    </w:p>
    <w:p w:rsidR="00000000" w:rsidDel="00000000" w:rsidP="00000000" w:rsidRDefault="00000000" w:rsidRPr="00000000" w14:paraId="0000001F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Проект акта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державної, сфери наукової та науково-технічної діяльності.</w:t>
      </w:r>
    </w:p>
    <w:p w:rsidR="00000000" w:rsidDel="00000000" w:rsidP="00000000" w:rsidRDefault="00000000" w:rsidRPr="00000000" w14:paraId="00000020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 Оцінка відповідності</w:t>
      </w:r>
    </w:p>
    <w:p w:rsidR="00000000" w:rsidDel="00000000" w:rsidP="00000000" w:rsidRDefault="00000000" w:rsidRPr="00000000" w14:paraId="00000022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Проект акта не стосується зобов’язань України у сфері європейської інтеграції; прав та свобод, гарантованих Конвенцією про захист прав людини і основоположних свобод; не впливає на забезпечення рівних прав та можливостей жінок і чоловіків; не містить ризиків вчинення корупційних правопорушень та правопорушень, пов’язаних з корупцією; не створює підстави для дискримінації.</w:t>
      </w:r>
    </w:p>
    <w:p w:rsidR="00000000" w:rsidDel="00000000" w:rsidP="00000000" w:rsidRDefault="00000000" w:rsidRPr="00000000" w14:paraId="00000023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Громадська антикорупційна, громадська антидискримінаційна та громадська гендерно-правовова експертизи не проводилися.</w:t>
      </w:r>
    </w:p>
    <w:p w:rsidR="00000000" w:rsidDel="00000000" w:rsidP="00000000" w:rsidRDefault="00000000" w:rsidRPr="00000000" w14:paraId="00000024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8. Прогноз результатів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Реалізація акта матиме позитивний вплив на ринкове середовище, забезпечення захисту прав та інтересів суб’єктів господарювання, громадян і держави.</w:t>
      </w:r>
    </w:p>
    <w:p w:rsidR="00000000" w:rsidDel="00000000" w:rsidP="00000000" w:rsidRDefault="00000000" w:rsidRPr="00000000" w14:paraId="00000027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Реалізація акта не матиме впливу на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:rsidR="00000000" w:rsidDel="00000000" w:rsidP="00000000" w:rsidRDefault="00000000" w:rsidRPr="00000000" w14:paraId="00000028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20"/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3240"/>
        <w:gridCol w:w="4620"/>
        <w:tblGridChange w:id="0">
          <w:tblGrid>
            <w:gridCol w:w="1965"/>
            <w:gridCol w:w="3240"/>
            <w:gridCol w:w="46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120" w:lineRule="auto"/>
              <w:ind w:left="-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Заінтересована сторона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Вплив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реалізації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акта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на заінтересовану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сторону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Пояснення очікуваного впливу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Виробники та імпортери технічно складних побутових товарів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Позитивний</w:t>
            </w:r>
          </w:p>
          <w:p w:rsidR="00000000" w:rsidDel="00000000" w:rsidP="00000000" w:rsidRDefault="00000000" w:rsidRPr="00000000" w14:paraId="0000002F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Виробники та імпортери витрачатимуть менше коштів, часових та людських ресурсів на забезпечення споживачів експлуатаційними документами, що містять гарантійні зобов’язання виробника. </w:t>
            </w:r>
          </w:p>
          <w:p w:rsidR="00000000" w:rsidDel="00000000" w:rsidP="00000000" w:rsidRDefault="00000000" w:rsidRPr="00000000" w14:paraId="00000031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Споживачі технічно складних побутових товарів</w:t>
            </w:r>
          </w:p>
          <w:p w:rsidR="00000000" w:rsidDel="00000000" w:rsidP="00000000" w:rsidRDefault="00000000" w:rsidRPr="00000000" w14:paraId="00000033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Позитивний</w:t>
            </w:r>
          </w:p>
          <w:p w:rsidR="00000000" w:rsidDel="00000000" w:rsidP="00000000" w:rsidRDefault="00000000" w:rsidRPr="00000000" w14:paraId="00000035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Споживачі отримуватимуть усю необхідну та актуальну інформацію про гарантійні зобов’язання виробника в зручному електронному форматі.</w:t>
            </w:r>
          </w:p>
        </w:tc>
      </w:tr>
    </w:tbl>
    <w:p w:rsidR="00000000" w:rsidDel="00000000" w:rsidP="00000000" w:rsidRDefault="00000000" w:rsidRPr="00000000" w14:paraId="00000037">
      <w:pPr>
        <w:spacing w:after="160" w:line="259" w:lineRule="auto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20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Віце-прем'єр-міністр України – Міністр</w:t>
        <w:br w:type="textWrapping"/>
        <w:t xml:space="preserve">цифрової трансформації України                                   Михайло ФЕДОРОВ</w:t>
      </w:r>
    </w:p>
    <w:p w:rsidR="00000000" w:rsidDel="00000000" w:rsidP="00000000" w:rsidRDefault="00000000" w:rsidRPr="00000000" w14:paraId="0000003A">
      <w:pPr>
        <w:spacing w:before="200" w:line="254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  ___________ 2021 р.</w:t>
      </w:r>
      <w:r w:rsidDel="00000000" w:rsidR="00000000" w:rsidRPr="00000000">
        <w:rPr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0"/>
        </w:tabs>
        <w:spacing w:before="20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6838" w:w="11906" w:orient="portrait"/>
      <w:pgMar w:bottom="709" w:top="426" w:left="1560" w:right="851" w:header="850" w:footer="11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0"/>
    </w:pPr>
    <w:rPr>
      <w:rFonts w:ascii="Arial" w:cs="Arial" w:eastAsia="Arial" w:hAnsi="Arial"/>
      <w:b w:val="1"/>
      <w:sz w:val="32"/>
      <w:szCs w:val="32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2"/>
    </w:pPr>
    <w:rPr>
      <w:rFonts w:ascii="Arial" w:cs="Arial" w:eastAsia="Arial" w:hAnsi="Arial"/>
      <w:b w:val="1"/>
      <w:sz w:val="26"/>
      <w:szCs w:val="26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3"/>
    </w:pPr>
    <w:rPr>
      <w:b w:val="1"/>
      <w:sz w:val="28"/>
      <w:szCs w:val="28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4"/>
    </w:pPr>
    <w:rPr>
      <w:b w:val="1"/>
      <w:i w:val="1"/>
      <w:sz w:val="26"/>
      <w:szCs w:val="2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5"/>
    </w:pPr>
    <w:rPr>
      <w:b w:val="1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uiPriority w:val="1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</w:pPr>
    <w:rPr>
      <w:rFonts w:ascii="Cambria" w:cs="Cambria" w:eastAsia="Cambria" w:hAnsi="Cambria"/>
      <w:b w:val="1"/>
      <w:sz w:val="32"/>
      <w:szCs w:val="3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/>
      <w:jc w:val="center"/>
    </w:pPr>
    <w:rPr>
      <w:rFonts w:ascii="Arial" w:cs="Arial" w:eastAsia="Arial" w:hAnsi="Arial"/>
      <w:color w:val="000000"/>
    </w:rPr>
  </w:style>
  <w:style w:type="table" w:styleId="a5" w:customStyle="1">
    <w:basedOn w:val="TableNormal3"/>
    <w:rPr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rPr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7">
    <w:name w:val="header"/>
    <w:basedOn w:val="a"/>
    <w:link w:val="a8"/>
    <w:uiPriority w:val="99"/>
    <w:unhideWhenUsed w:val="1"/>
    <w:rsid w:val="006C646E"/>
    <w:pPr>
      <w:tabs>
        <w:tab w:val="center" w:pos="4677"/>
        <w:tab w:val="right" w:pos="9355"/>
      </w:tabs>
    </w:pPr>
  </w:style>
  <w:style w:type="character" w:styleId="a8" w:customStyle="1">
    <w:name w:val="Верхній колонтитул Знак"/>
    <w:basedOn w:val="a0"/>
    <w:link w:val="a7"/>
    <w:uiPriority w:val="99"/>
    <w:rsid w:val="006C646E"/>
  </w:style>
  <w:style w:type="paragraph" w:styleId="a9">
    <w:name w:val="footer"/>
    <w:basedOn w:val="a"/>
    <w:link w:val="aa"/>
    <w:uiPriority w:val="99"/>
    <w:unhideWhenUsed w:val="1"/>
    <w:rsid w:val="006C646E"/>
    <w:pPr>
      <w:tabs>
        <w:tab w:val="center" w:pos="4677"/>
        <w:tab w:val="right" w:pos="9355"/>
      </w:tabs>
    </w:pPr>
  </w:style>
  <w:style w:type="character" w:styleId="aa" w:customStyle="1">
    <w:name w:val="Нижній колонтитул Знак"/>
    <w:basedOn w:val="a0"/>
    <w:link w:val="a9"/>
    <w:uiPriority w:val="99"/>
    <w:rsid w:val="006C646E"/>
  </w:style>
  <w:style w:type="table" w:styleId="ab" w:customStyle="1">
    <w:basedOn w:val="TableNormal1"/>
    <w:rPr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c">
    <w:name w:val="List Paragraph"/>
    <w:basedOn w:val="a"/>
    <w:uiPriority w:val="34"/>
    <w:qFormat w:val="1"/>
    <w:rsid w:val="00077065"/>
    <w:pPr>
      <w:ind w:left="720"/>
      <w:contextualSpacing w:val="1"/>
    </w:pPr>
  </w:style>
  <w:style w:type="character" w:styleId="ad">
    <w:name w:val="page number"/>
    <w:basedOn w:val="a0"/>
    <w:uiPriority w:val="99"/>
    <w:semiHidden w:val="1"/>
    <w:unhideWhenUsed w:val="1"/>
    <w:rsid w:val="0031655B"/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>
      <w:rFonts w:ascii="Arial" w:cs="Arial" w:eastAsia="Arial" w:hAnsi="Arial"/>
      <w:color w:val="000000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XwaXColD33IjDt/j6uAtG8qbfA==">AMUW2mW7VnMVdrhJdQSCMO0QW2o7sPklxzpWdJtMk2h0XRVfXIQ/Cl6JVrwpQbQCSDQW/C1Ge2Bg/uf0s/XzM8C3eQrT/KH0Q/IVoSCTMeVAPeHbMke0NXsRLB5+SEEZniRFjxGDhRMr4RIq3ekO4xewLR8/EWU1uA==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2021-08-19T14:25:00Z</dcterms:created>
  <dc:creator>admin</dc:creator>
</cp:coreProperties>
</file>