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ЗВІТ</w:t>
      </w:r>
    </w:p>
    <w:p w:rsidR="00000000" w:rsidDel="00000000" w:rsidP="00000000" w:rsidRDefault="00000000" w:rsidRPr="00000000" w14:paraId="00000002">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про результати публічного громадського обговорення проєкту розпорядження Кабінету Міністрів України «</w:t>
      </w:r>
      <w:r w:rsidDel="00000000" w:rsidR="00000000" w:rsidRPr="00000000">
        <w:rPr>
          <w:rFonts w:ascii="Times New Roman" w:cs="Times New Roman" w:eastAsia="Times New Roman" w:hAnsi="Times New Roman"/>
          <w:b w:val="1"/>
          <w:sz w:val="20"/>
          <w:szCs w:val="20"/>
          <w:rtl w:val="0"/>
        </w:rPr>
        <w:t xml:space="preserve">Про схвалення Концепції з розвитку цифрових прав дітей та затвердження плану заходів з її реалізації</w:t>
      </w:r>
      <w:r w:rsidDel="00000000" w:rsidR="00000000" w:rsidRPr="00000000">
        <w:rPr>
          <w:rFonts w:ascii="Times New Roman" w:cs="Times New Roman" w:eastAsia="Times New Roman" w:hAnsi="Times New Roman"/>
          <w:b w:val="1"/>
          <w:sz w:val="21"/>
          <w:szCs w:val="21"/>
          <w:rtl w:val="0"/>
        </w:rPr>
        <w:t xml:space="preserve">»</w:t>
      </w:r>
    </w:p>
    <w:p w:rsidR="00000000" w:rsidDel="00000000" w:rsidP="00000000" w:rsidRDefault="00000000" w:rsidRPr="00000000" w14:paraId="00000003">
      <w:pPr>
        <w:ind w:firstLine="5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Відкриті громадські обговорення проєкту розпорядження Кабінету Міністрів Украї</w:t>
      </w:r>
      <w:r w:rsidDel="00000000" w:rsidR="00000000" w:rsidRPr="00000000">
        <w:rPr>
          <w:rFonts w:ascii="Times New Roman" w:cs="Times New Roman" w:eastAsia="Times New Roman" w:hAnsi="Times New Roman"/>
          <w:sz w:val="23"/>
          <w:szCs w:val="23"/>
          <w:rtl w:val="0"/>
        </w:rPr>
        <w:t xml:space="preserve">ни «</w:t>
      </w:r>
      <w:r w:rsidDel="00000000" w:rsidR="00000000" w:rsidRPr="00000000">
        <w:rPr>
          <w:rFonts w:ascii="Times New Roman" w:cs="Times New Roman" w:eastAsia="Times New Roman" w:hAnsi="Times New Roman"/>
          <w:sz w:val="20"/>
          <w:szCs w:val="20"/>
          <w:rtl w:val="0"/>
        </w:rPr>
        <w:t xml:space="preserve">Про схвалення Концепції з розвитку цифрових прав дітей та затвердження плану заходів з її реалізації</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sz w:val="21"/>
          <w:szCs w:val="21"/>
          <w:rtl w:val="0"/>
        </w:rPr>
        <w:t xml:space="preserve"> проводились Міністерством цифрової трансформації України в період з 14 по 29 січня 2021 року шляхом розміщення тексту проєкту розпорядження на офіційній веб-сторінці Мінцифри.</w:t>
      </w:r>
    </w:p>
    <w:p w:rsidR="00000000" w:rsidDel="00000000" w:rsidP="00000000" w:rsidRDefault="00000000" w:rsidRPr="00000000" w14:paraId="00000004">
      <w:pPr>
        <w:ind w:firstLine="5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 обговореннях взяли участь представники громадських організацій у сфері захисту прав людини), зокрема ГО  "Лабораторія цифрової безпеки" та ГО “ Докудейз””</w:t>
      </w:r>
    </w:p>
    <w:p w:rsidR="00000000" w:rsidDel="00000000" w:rsidP="00000000" w:rsidRDefault="00000000" w:rsidRPr="00000000" w14:paraId="00000005">
      <w:pPr>
        <w:ind w:left="0" w:firstLine="0"/>
        <w:jc w:val="both"/>
        <w:rPr>
          <w:rFonts w:ascii="Times New Roman" w:cs="Times New Roman" w:eastAsia="Times New Roman" w:hAnsi="Times New Roman"/>
          <w:sz w:val="21"/>
          <w:szCs w:val="21"/>
          <w:highlight w:val="yellow"/>
        </w:rPr>
      </w:pPr>
      <w:r w:rsidDel="00000000" w:rsidR="00000000" w:rsidRPr="00000000">
        <w:rPr>
          <w:rtl w:val="0"/>
        </w:rPr>
      </w:r>
    </w:p>
    <w:tbl>
      <w:tblPr>
        <w:tblStyle w:val="Table1"/>
        <w:tblW w:w="1476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2280"/>
        <w:gridCol w:w="3525"/>
        <w:gridCol w:w="1605"/>
        <w:gridCol w:w="3930"/>
        <w:tblGridChange w:id="0">
          <w:tblGrid>
            <w:gridCol w:w="3420"/>
            <w:gridCol w:w="2280"/>
            <w:gridCol w:w="3525"/>
            <w:gridCol w:w="1605"/>
            <w:gridCol w:w="3930"/>
          </w:tblGrid>
        </w:tblGridChange>
      </w:tblGrid>
      <w:tr>
        <w:trPr>
          <w:trHeight w:val="945"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6">
            <w:pPr>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Заявник, суть пропозиції</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7">
            <w:pPr>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Рішення про врахування/неврахування пропозиції, коментаря</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8">
            <w:pPr>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Аргументація прийнятого рішення про неврахування</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9">
            <w:pPr>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Примітка</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A">
            <w:pPr>
              <w:jc w:val="cente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Виправлена редакція</w:t>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B">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"Лабораторія цифрової безпеки"</w:t>
            </w:r>
          </w:p>
          <w:p w:rsidR="00000000" w:rsidDel="00000000" w:rsidP="00000000" w:rsidRDefault="00000000" w:rsidRPr="00000000" w14:paraId="0000000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Пропозиція стосовно уточнення про необхідність дотриманням вимог доцільності та пропорційності обмежень під час запровадження фільтрування контенту та сервісів у мережі Інтернет та місцях навчання та повсякденного перебування.</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E">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Врахувати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10">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1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Для досягнення мети Концепції в частині забезпечення безпечності та захищеності дітей під час використання мережі Інтернет в освітньому процесі та повсякденному житті передбачається виконання таких завдань:</w:t>
            </w:r>
          </w:p>
          <w:p w:rsidR="00000000" w:rsidDel="00000000" w:rsidP="00000000" w:rsidRDefault="00000000" w:rsidRPr="00000000" w14:paraId="00000012">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w:t>
            </w:r>
          </w:p>
          <w:p w:rsidR="00000000" w:rsidDel="00000000" w:rsidP="00000000" w:rsidRDefault="00000000" w:rsidRPr="00000000" w14:paraId="00000013">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щодо контенту та сервісів, доступних в мережі Інтернет під час освітнього процесу та місцях повсякденного перебування дитини:</w:t>
            </w:r>
          </w:p>
          <w:p w:rsidR="00000000" w:rsidDel="00000000" w:rsidP="00000000" w:rsidRDefault="00000000" w:rsidRPr="00000000" w14:paraId="0000001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sz w:val="19"/>
                <w:szCs w:val="19"/>
                <w:rtl w:val="0"/>
              </w:rPr>
              <w:t xml:space="preserve">запровадити фільтрування контенту та сервісів у мережі Інтернет та місцях навчання та повсякденного перебування </w:t>
            </w:r>
            <w:r w:rsidDel="00000000" w:rsidR="00000000" w:rsidRPr="00000000">
              <w:rPr>
                <w:rFonts w:ascii="Times New Roman" w:cs="Times New Roman" w:eastAsia="Times New Roman" w:hAnsi="Times New Roman"/>
                <w:b w:val="1"/>
                <w:sz w:val="19"/>
                <w:szCs w:val="19"/>
                <w:rtl w:val="0"/>
              </w:rPr>
              <w:t xml:space="preserve">з дотриманням вимог доцільності та пропорційності обмежень.</w:t>
            </w:r>
          </w:p>
          <w:p w:rsidR="00000000" w:rsidDel="00000000" w:rsidP="00000000" w:rsidRDefault="00000000" w:rsidRPr="00000000" w14:paraId="00000016">
            <w:pPr>
              <w:rPr>
                <w:rFonts w:ascii="Times New Roman" w:cs="Times New Roman" w:eastAsia="Times New Roman" w:hAnsi="Times New Roman"/>
                <w:sz w:val="19"/>
                <w:szCs w:val="19"/>
              </w:rPr>
            </w:pPr>
            <w:r w:rsidDel="00000000" w:rsidR="00000000" w:rsidRPr="00000000">
              <w:rPr>
                <w:rtl w:val="0"/>
              </w:rPr>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17">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"Лабораторія цифрової безпеки"</w:t>
            </w:r>
          </w:p>
          <w:p w:rsidR="00000000" w:rsidDel="00000000" w:rsidP="00000000" w:rsidRDefault="00000000" w:rsidRPr="00000000" w14:paraId="00000018">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sz w:val="19"/>
                <w:szCs w:val="19"/>
                <w:rtl w:val="0"/>
              </w:rPr>
              <w:t xml:space="preserve">Пропозиція щодо включення запобіжників від необґрунтованого обмеження доступу до інформації та гарантії дотримання права особи на ефективний спосіб правового захисту під </w:t>
            </w:r>
            <w:r w:rsidDel="00000000" w:rsidR="00000000" w:rsidRPr="00000000">
              <w:rPr>
                <w:rFonts w:ascii="Times New Roman" w:cs="Times New Roman" w:eastAsia="Times New Roman" w:hAnsi="Times New Roman"/>
                <w:sz w:val="19"/>
                <w:szCs w:val="19"/>
                <w:rtl w:val="0"/>
              </w:rPr>
              <w:t xml:space="preserve">час</w:t>
            </w:r>
            <w:r w:rsidDel="00000000" w:rsidR="00000000" w:rsidRPr="00000000">
              <w:rPr>
                <w:rFonts w:ascii="Times New Roman" w:cs="Times New Roman" w:eastAsia="Times New Roman" w:hAnsi="Times New Roman"/>
                <w:sz w:val="19"/>
                <w:szCs w:val="19"/>
                <w:rtl w:val="0"/>
              </w:rPr>
              <w:t xml:space="preserve"> створення механізмів виявлення та реагування на контент та сервіси в цифровому середовищі, що містять СЕНД.</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1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Не враховувати</w:t>
            </w:r>
          </w:p>
          <w:p w:rsidR="00000000" w:rsidDel="00000000" w:rsidP="00000000" w:rsidRDefault="00000000" w:rsidRPr="00000000" w14:paraId="0000001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1F">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Незважаючи на велику значущість запобігання необгрунтованому обмеженню доступу до інформації та гарантій дотримання права особи на ефективний спосіб правового захисту, у випадку із видаленням та блокуванням контенту, що містить СЕНД, впровадження таких запобіжників може мати негативний вплив на швидкість та ефективність видалення/блокування відповідного контенту. В контексті дотримання балансу між швидкістю та ефективністю боротьби із контентом, що містить СЕНД та дотриманням права на свободу вираження поглядів зазначаємо наступне:</w:t>
            </w:r>
          </w:p>
          <w:p w:rsidR="00000000" w:rsidDel="00000000" w:rsidP="00000000" w:rsidRDefault="00000000" w:rsidRPr="00000000" w14:paraId="00000020">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Європейський суд з прав людини у своїй практиці неодноразово наголошував на широкій дискреції держав у питаннях, пов’язаних із захистом суспільної моралі та боротьбою із дитячою порнографією зокрема (див., наприклад, рішення у справі Перрен проти Сполученого Королівства);</w:t>
            </w:r>
          </w:p>
          <w:p w:rsidR="00000000" w:rsidDel="00000000" w:rsidP="00000000" w:rsidRDefault="00000000" w:rsidRPr="00000000" w14:paraId="0000002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Рекомендація Комітету Міністрів Ради Європи державам-членам про ролі та обов’язки Інтернет-посередників (пункт 1.3.2) передбачає виключення із необхідності отримання розпорядження судового органу або іншого незалежного адміністративного органу, рішення якого підлягають судовому перегляду, під час вимоги від посередників обмеження доступу до контенту, який є незаконним незалежно від контексту, зокрема контенту, який стосується матеріалів про сексуальне насильство над дитиною,</w:t>
            </w:r>
          </w:p>
          <w:p w:rsidR="00000000" w:rsidDel="00000000" w:rsidP="00000000" w:rsidRDefault="00000000" w:rsidRPr="00000000" w14:paraId="00000022">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23">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Саме лише виокремлення контенту, що містить СЕНД з більш широкого поняття “нелегальний контент” є достатнім запобіжником від необґрунтованого обмеження доступу до інформації та свободи вираження поглядів. Дотримання права особи на ефективний спосіб правового захисту, зокрема шляхом оскарження рішення в судовому порядку, вже передбачено в рамках чинного законодавства.</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4">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5">
            <w:pPr>
              <w:rPr>
                <w:rFonts w:ascii="Times New Roman" w:cs="Times New Roman" w:eastAsia="Times New Roman" w:hAnsi="Times New Roman"/>
                <w:sz w:val="19"/>
                <w:szCs w:val="19"/>
              </w:rPr>
            </w:pPr>
            <w:r w:rsidDel="00000000" w:rsidR="00000000" w:rsidRPr="00000000">
              <w:rPr>
                <w:rtl w:val="0"/>
              </w:rPr>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6">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"Лабораторія цифрової безпеки"</w:t>
            </w:r>
          </w:p>
          <w:p w:rsidR="00000000" w:rsidDel="00000000" w:rsidP="00000000" w:rsidRDefault="00000000" w:rsidRPr="00000000" w14:paraId="00000027">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Пропозиція щодо звуження сфери дії майбутнього закону, ініціювання якого передбачене пунктом 13 Плану заходів, з (усього) нелегального контенту до (виключно) контенту, що містить СЕНД.</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9">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Врахувати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B">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C">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Ініціювання розроблення законопроекту про внесення змін до законодавчих актів, що впроваджують дієвий механізм видалення та блокування матеріалів, що містять СЕНД.</w:t>
            </w:r>
          </w:p>
          <w:p w:rsidR="00000000" w:rsidDel="00000000" w:rsidP="00000000" w:rsidRDefault="00000000" w:rsidRPr="00000000" w14:paraId="0000002D">
            <w:pPr>
              <w:rPr>
                <w:rFonts w:ascii="Times New Roman" w:cs="Times New Roman" w:eastAsia="Times New Roman" w:hAnsi="Times New Roman"/>
                <w:sz w:val="19"/>
                <w:szCs w:val="19"/>
              </w:rPr>
            </w:pPr>
            <w:r w:rsidDel="00000000" w:rsidR="00000000" w:rsidRPr="00000000">
              <w:rPr>
                <w:rtl w:val="0"/>
              </w:rPr>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2E">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"Лабораторія цифрової безпеки"</w:t>
            </w:r>
          </w:p>
          <w:p w:rsidR="00000000" w:rsidDel="00000000" w:rsidP="00000000" w:rsidRDefault="00000000" w:rsidRPr="00000000" w14:paraId="0000002F">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Пропозиція щодо звуження сфери дії майбутнього закону, ініціювання якого передбачене пунктом 14 Плану заходів, з (усього) нелегального контенту до (виключно) контенту, що містить СЕНД.</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1">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Врахувати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3">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4">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Ініціювання розроблення законопроекту щодо видалення/ блокування матеріалів, що містять СЕНД.</w:t>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5">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“Докудейз”</w:t>
            </w:r>
          </w:p>
          <w:p w:rsidR="00000000" w:rsidDel="00000000" w:rsidP="00000000" w:rsidRDefault="00000000" w:rsidRPr="00000000" w14:paraId="00000036">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Змінити частину «Впровадження та удосконалення законодавства щодо відповідальності за злочини, скоєні в цифровому середовищі» розділу Концепції «Шляхи розв’язання проблеми» з “...відповідальності за злочини, скоєні в цифровому середовищі” на “...відповідальності за правопорушення чи злочини, скоєні в цифровому середовищі” у зв’язку із тим, що окремі порушення прав дитини, зокрема пов’язані з булінгом (цькуванням) онлайн, можуть розглядатись не в межах кримінального процесу, а в адміністративному.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8">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Врахувати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A">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Впровадження та удосконалення законодавства щодо відповідальності за правопорушення чи злочини, скоєні в цифровому середовищі</w:t>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C">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“Докудейз” </w:t>
            </w:r>
          </w:p>
          <w:p w:rsidR="00000000" w:rsidDel="00000000" w:rsidP="00000000" w:rsidRDefault="00000000" w:rsidRPr="00000000" w14:paraId="0000003D">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Доповнити частину «Впровадження та удосконалення законодавства щодо відповідальності за злочини, скоєні в цифровому середовищі» розділу Концепції «Шляхи розв’язання проблеми» абзацом наступного змісту.</w:t>
            </w:r>
            <w:r w:rsidDel="00000000" w:rsidR="00000000" w:rsidRPr="00000000">
              <w:rPr>
                <w:rFonts w:ascii="Times New Roman" w:cs="Times New Roman" w:eastAsia="Times New Roman" w:hAnsi="Times New Roman"/>
                <w:b w:val="1"/>
                <w:sz w:val="19"/>
                <w:szCs w:val="19"/>
                <w:rtl w:val="0"/>
              </w:rPr>
              <w:t xml:space="preserve"> </w:t>
            </w:r>
            <w:r w:rsidDel="00000000" w:rsidR="00000000" w:rsidRPr="00000000">
              <w:rPr>
                <w:rFonts w:ascii="Times New Roman" w:cs="Times New Roman" w:eastAsia="Times New Roman" w:hAnsi="Times New Roman"/>
                <w:sz w:val="19"/>
                <w:szCs w:val="19"/>
                <w:rtl w:val="0"/>
              </w:rPr>
              <w:t xml:space="preserve">Розробити </w:t>
            </w:r>
            <w:r w:rsidDel="00000000" w:rsidR="00000000" w:rsidRPr="00000000">
              <w:rPr>
                <w:rFonts w:ascii="Times New Roman" w:cs="Times New Roman" w:eastAsia="Times New Roman" w:hAnsi="Times New Roman"/>
                <w:b w:val="1"/>
                <w:sz w:val="19"/>
                <w:szCs w:val="19"/>
                <w:rtl w:val="0"/>
              </w:rPr>
              <w:t xml:space="preserve">зміни до законодавчих актів, </w:t>
            </w:r>
            <w:r w:rsidDel="00000000" w:rsidR="00000000" w:rsidRPr="00000000">
              <w:rPr>
                <w:rFonts w:ascii="Times New Roman" w:cs="Times New Roman" w:eastAsia="Times New Roman" w:hAnsi="Times New Roman"/>
                <w:sz w:val="19"/>
                <w:szCs w:val="19"/>
                <w:rtl w:val="0"/>
              </w:rPr>
              <w:t xml:space="preserve">метою яких є посилення відповідальності за правопорушення, пов’язані з кібербулінгом, взаємодію зацікавлених сторін (закладів освіти, Національної поліції України, Служб у справах дітей, Центрів соціальних служб для сім’ї, дітей та молоді, інших суб’єктів) з метою реагування, належного розслідування випадків кібербулінгу, притягнення до відповідальності та захисту </w:t>
            </w:r>
            <w:r w:rsidDel="00000000" w:rsidR="00000000" w:rsidRPr="00000000">
              <w:rPr>
                <w:rFonts w:ascii="Times New Roman" w:cs="Times New Roman" w:eastAsia="Times New Roman" w:hAnsi="Times New Roman"/>
                <w:sz w:val="19"/>
                <w:szCs w:val="19"/>
                <w:rtl w:val="0"/>
              </w:rPr>
              <w:t xml:space="preserve">постраждалих</w:t>
            </w:r>
            <w:r w:rsidDel="00000000" w:rsidR="00000000" w:rsidRPr="00000000">
              <w:rPr>
                <w:rFonts w:ascii="Times New Roman" w:cs="Times New Roman" w:eastAsia="Times New Roman" w:hAnsi="Times New Roman"/>
                <w:sz w:val="19"/>
                <w:szCs w:val="19"/>
                <w:rtl w:val="0"/>
              </w:rPr>
              <w:t xml:space="preserve"> від кібербулінгу.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3F">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Не враховувати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Не враховано у зв’язку із включенням аналогічних положень до проєкту Плану дій з реалізації Національної стратегії у сфері прав людини Міністерства юстиції України.</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1">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2">
            <w:pPr>
              <w:rPr>
                <w:rFonts w:ascii="Times New Roman" w:cs="Times New Roman" w:eastAsia="Times New Roman" w:hAnsi="Times New Roman"/>
                <w:sz w:val="19"/>
                <w:szCs w:val="19"/>
              </w:rPr>
            </w:pPr>
            <w:r w:rsidDel="00000000" w:rsidR="00000000" w:rsidRPr="00000000">
              <w:rPr>
                <w:rtl w:val="0"/>
              </w:rPr>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3">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“Докудейз”</w:t>
            </w:r>
          </w:p>
          <w:p w:rsidR="00000000" w:rsidDel="00000000" w:rsidP="00000000" w:rsidRDefault="00000000" w:rsidRPr="00000000" w14:paraId="00000044">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i w:val="1"/>
                <w:sz w:val="19"/>
                <w:szCs w:val="19"/>
              </w:rPr>
            </w:pPr>
            <w:r w:rsidDel="00000000" w:rsidR="00000000" w:rsidRPr="00000000">
              <w:rPr>
                <w:rFonts w:ascii="Times New Roman" w:cs="Times New Roman" w:eastAsia="Times New Roman" w:hAnsi="Times New Roman"/>
                <w:sz w:val="19"/>
                <w:szCs w:val="19"/>
                <w:rtl w:val="0"/>
              </w:rPr>
              <w:t xml:space="preserve">Доповнити План заходів наступним заходом: “</w:t>
            </w:r>
            <w:r w:rsidDel="00000000" w:rsidR="00000000" w:rsidRPr="00000000">
              <w:rPr>
                <w:rFonts w:ascii="Times New Roman" w:cs="Times New Roman" w:eastAsia="Times New Roman" w:hAnsi="Times New Roman"/>
                <w:i w:val="1"/>
                <w:sz w:val="19"/>
                <w:szCs w:val="19"/>
                <w:rtl w:val="0"/>
              </w:rPr>
              <w:t xml:space="preserve">вивчення </w:t>
            </w:r>
            <w:r w:rsidDel="00000000" w:rsidR="00000000" w:rsidRPr="00000000">
              <w:rPr>
                <w:rFonts w:ascii="Times New Roman" w:cs="Times New Roman" w:eastAsia="Times New Roman" w:hAnsi="Times New Roman"/>
                <w:i w:val="1"/>
                <w:sz w:val="19"/>
                <w:szCs w:val="19"/>
                <w:rtl w:val="0"/>
              </w:rPr>
              <w:t xml:space="preserve">міжнародного</w:t>
            </w:r>
            <w:r w:rsidDel="00000000" w:rsidR="00000000" w:rsidRPr="00000000">
              <w:rPr>
                <w:rFonts w:ascii="Times New Roman" w:cs="Times New Roman" w:eastAsia="Times New Roman" w:hAnsi="Times New Roman"/>
                <w:i w:val="1"/>
                <w:sz w:val="19"/>
                <w:szCs w:val="19"/>
                <w:rtl w:val="0"/>
              </w:rPr>
              <w:t xml:space="preserve"> досвіду із законодавчого врегулювання попередження та протидії кібербулінгу”.</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6">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Врахувати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8">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9">
            <w:pPr>
              <w:rPr>
                <w:rFonts w:ascii="Times New Roman" w:cs="Times New Roman" w:eastAsia="Times New Roman" w:hAnsi="Times New Roman"/>
                <w:i w:val="1"/>
                <w:sz w:val="19"/>
                <w:szCs w:val="19"/>
              </w:rPr>
            </w:pPr>
            <w:r w:rsidDel="00000000" w:rsidR="00000000" w:rsidRPr="00000000">
              <w:rPr>
                <w:rFonts w:ascii="Times New Roman" w:cs="Times New Roman" w:eastAsia="Times New Roman" w:hAnsi="Times New Roman"/>
                <w:sz w:val="19"/>
                <w:szCs w:val="19"/>
                <w:rtl w:val="0"/>
              </w:rPr>
              <w:t xml:space="preserve">До плану заходів додано пункт (№17) наступного змісту: </w:t>
            </w:r>
            <w:r w:rsidDel="00000000" w:rsidR="00000000" w:rsidRPr="00000000">
              <w:rPr>
                <w:rFonts w:ascii="Times New Roman" w:cs="Times New Roman" w:eastAsia="Times New Roman" w:hAnsi="Times New Roman"/>
                <w:i w:val="1"/>
                <w:sz w:val="19"/>
                <w:szCs w:val="19"/>
                <w:rtl w:val="0"/>
              </w:rPr>
              <w:t xml:space="preserve">“Вивчення міжнародного досвіду із законодавчого врегулювання попередження та протидії кібербулінгу.”</w:t>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A">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“Докудейз”</w:t>
            </w:r>
          </w:p>
          <w:p w:rsidR="00000000" w:rsidDel="00000000" w:rsidP="00000000" w:rsidRDefault="00000000" w:rsidRPr="00000000" w14:paraId="0000004B">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sz w:val="19"/>
                <w:szCs w:val="19"/>
                <w:rtl w:val="0"/>
              </w:rPr>
              <w:t xml:space="preserve">Доповнити План заходів наступним заходом: </w:t>
            </w:r>
            <w:r w:rsidDel="00000000" w:rsidR="00000000" w:rsidRPr="00000000">
              <w:rPr>
                <w:rFonts w:ascii="Times New Roman" w:cs="Times New Roman" w:eastAsia="Times New Roman" w:hAnsi="Times New Roman"/>
                <w:b w:val="1"/>
                <w:sz w:val="19"/>
                <w:szCs w:val="19"/>
                <w:rtl w:val="0"/>
              </w:rPr>
              <w:t xml:space="preserve">“</w:t>
            </w:r>
            <w:r w:rsidDel="00000000" w:rsidR="00000000" w:rsidRPr="00000000">
              <w:rPr>
                <w:rFonts w:ascii="Times New Roman" w:cs="Times New Roman" w:eastAsia="Times New Roman" w:hAnsi="Times New Roman"/>
                <w:b w:val="1"/>
                <w:i w:val="1"/>
                <w:sz w:val="19"/>
                <w:szCs w:val="19"/>
                <w:rtl w:val="0"/>
              </w:rPr>
              <w:t xml:space="preserve">Розробити та внести на розгляд </w:t>
            </w:r>
            <w:r w:rsidDel="00000000" w:rsidR="00000000" w:rsidRPr="00000000">
              <w:rPr>
                <w:rFonts w:ascii="Times New Roman" w:cs="Times New Roman" w:eastAsia="Times New Roman" w:hAnsi="Times New Roman"/>
                <w:i w:val="1"/>
                <w:sz w:val="19"/>
                <w:szCs w:val="19"/>
                <w:rtl w:val="0"/>
              </w:rPr>
              <w:t xml:space="preserve">Верховної Ради України проєкт закону щодо запобігання та протидії кібербулінгу, зокрема в середовищі </w:t>
            </w:r>
            <w:r w:rsidDel="00000000" w:rsidR="00000000" w:rsidRPr="00000000">
              <w:rPr>
                <w:rFonts w:ascii="Times New Roman" w:cs="Times New Roman" w:eastAsia="Times New Roman" w:hAnsi="Times New Roman"/>
                <w:i w:val="1"/>
                <w:sz w:val="19"/>
                <w:szCs w:val="19"/>
                <w:rtl w:val="0"/>
              </w:rPr>
              <w:t xml:space="preserve">дітей</w:t>
            </w:r>
            <w:r w:rsidDel="00000000" w:rsidR="00000000" w:rsidRPr="00000000">
              <w:rPr>
                <w:rFonts w:ascii="Times New Roman" w:cs="Times New Roman" w:eastAsia="Times New Roman" w:hAnsi="Times New Roman"/>
                <w:i w:val="1"/>
                <w:sz w:val="19"/>
                <w:szCs w:val="19"/>
                <w:rtl w:val="0"/>
              </w:rPr>
              <w:t xml:space="preserv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D">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Не враховувати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Не враховано у зв’язку із тим, що Планом дій з реалізації Національної стратегії у сфері прав людини Міністерства юстиції України передбачено захід з розроблення та подання на розгляд Кабінету Міністрів України законопроєкту про внесення змін щодо вдосконалення законодавства з протидії булінгу. Вважаємо, що зазначений захід змістовно покриває цю пропозицію. Також зазначаємо, що відсутність певного заходу у Плані дій не забороняє Мінцифри в подальшому ініціювати такий захід. Мінцифри буде стежити за ходом впровадження змін до законодавства щодо протидії кібербулінгу та розглядатиме доцільність повернутися до цього питання у майбутньому. </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4F">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0">
            <w:pPr>
              <w:rPr>
                <w:rFonts w:ascii="Times New Roman" w:cs="Times New Roman" w:eastAsia="Times New Roman" w:hAnsi="Times New Roman"/>
                <w:sz w:val="19"/>
                <w:szCs w:val="19"/>
              </w:rPr>
            </w:pPr>
            <w:r w:rsidDel="00000000" w:rsidR="00000000" w:rsidRPr="00000000">
              <w:rPr>
                <w:rtl w:val="0"/>
              </w:rPr>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1">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“Докудейз”</w:t>
            </w:r>
          </w:p>
          <w:p w:rsidR="00000000" w:rsidDel="00000000" w:rsidP="00000000" w:rsidRDefault="00000000" w:rsidRPr="00000000" w14:paraId="00000052">
            <w:pPr>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sz w:val="19"/>
                <w:szCs w:val="19"/>
                <w:rtl w:val="0"/>
              </w:rPr>
              <w:t xml:space="preserve">Доповнити План заходів наступним заходом: “</w:t>
            </w:r>
            <w:r w:rsidDel="00000000" w:rsidR="00000000" w:rsidRPr="00000000">
              <w:rPr>
                <w:rFonts w:ascii="Times New Roman" w:cs="Times New Roman" w:eastAsia="Times New Roman" w:hAnsi="Times New Roman"/>
                <w:i w:val="1"/>
                <w:sz w:val="19"/>
                <w:szCs w:val="19"/>
                <w:rtl w:val="0"/>
              </w:rPr>
              <w:t xml:space="preserve">Внести зміни до Порядку реагування на випадки булінгу (цькування) учасників освітнього процесу, затвердженого Наказом МОН 28.12.2019 № 1646 «Деякі питання реагування на випадки булінгу (цькування) та застосування заходів виховного впливу в закладах освіти», доповнивши </w:t>
            </w:r>
            <w:r w:rsidDel="00000000" w:rsidR="00000000" w:rsidRPr="00000000">
              <w:rPr>
                <w:rFonts w:ascii="Times New Roman" w:cs="Times New Roman" w:eastAsia="Times New Roman" w:hAnsi="Times New Roman"/>
                <w:i w:val="1"/>
                <w:sz w:val="19"/>
                <w:szCs w:val="19"/>
                <w:rtl w:val="0"/>
              </w:rPr>
              <w:t xml:space="preserve">формами</w:t>
            </w:r>
            <w:r w:rsidDel="00000000" w:rsidR="00000000" w:rsidRPr="00000000">
              <w:rPr>
                <w:rFonts w:ascii="Times New Roman" w:cs="Times New Roman" w:eastAsia="Times New Roman" w:hAnsi="Times New Roman"/>
                <w:i w:val="1"/>
                <w:sz w:val="19"/>
                <w:szCs w:val="19"/>
                <w:rtl w:val="0"/>
              </w:rPr>
              <w:t xml:space="preserve">, пов’язаними із застосуванням засобів електронних комунікацій.”.</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4">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Не враховувати</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Не враховано у зв’язку із включенням аналогічних положень до проєкту Плану дій з реалізації Національної стратегії у сфері прав людини Міністерства юстиції України.</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6">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7">
            <w:pPr>
              <w:rPr>
                <w:rFonts w:ascii="Times New Roman" w:cs="Times New Roman" w:eastAsia="Times New Roman" w:hAnsi="Times New Roman"/>
                <w:sz w:val="19"/>
                <w:szCs w:val="19"/>
              </w:rPr>
            </w:pPr>
            <w:r w:rsidDel="00000000" w:rsidR="00000000" w:rsidRPr="00000000">
              <w:rPr>
                <w:rtl w:val="0"/>
              </w:rPr>
            </w:r>
          </w:p>
        </w:tc>
      </w:tr>
      <w:tr>
        <w:trPr>
          <w:trHeight w:val="1620" w:hRule="atLeast"/>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8">
            <w:pPr>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ГО “Докудейз” </w:t>
            </w:r>
          </w:p>
          <w:p w:rsidR="00000000" w:rsidDel="00000000" w:rsidP="00000000" w:rsidRDefault="00000000" w:rsidRPr="00000000" w14:paraId="00000059">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Пропозиція включити заходи, що дозволять більшою мірою залучити до формування та реалізації політики у визначеній сфері дітей.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Не </w:t>
            </w:r>
            <w:r w:rsidDel="00000000" w:rsidR="00000000" w:rsidRPr="00000000">
              <w:rPr>
                <w:rFonts w:ascii="Times New Roman" w:cs="Times New Roman" w:eastAsia="Times New Roman" w:hAnsi="Times New Roman"/>
                <w:sz w:val="19"/>
                <w:szCs w:val="19"/>
                <w:rtl w:val="0"/>
              </w:rPr>
              <w:t xml:space="preserve">враховувати</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sz w:val="19"/>
                <w:szCs w:val="19"/>
                <w:rtl w:val="0"/>
              </w:rPr>
              <w:t xml:space="preserve">Щодо залучення дітей до вироблення рішень звертаємо увагу на те, що одним із принципів Концепції є принцип забезпечення участі дітей у формуванні та реалізації політики щодо безпечного використання цифрового середовища. Вважаємо, що наявність зазначеного принципу, яким Міністерство цифрової трансформації планує керуватися на усіх етапах реалізації Концепції та Плану, є достатнім для ефективного залучення дітей до вироблення рішень. Реалізація цього принципу може мати різні вияви залежно від етапу та конкретної цілі: проведення консультацій з представниками дитинства, створення цільових груп з дітей та експертів, запрошення представників/-ць учнівського самоврядування до робочих зустрічей, створення координаційної ради тощо. Особливо наголошуємо на тому, що залучення дітей до формування політики не є самоціллю, а радше наскрізним принципом роботи Мінцифри під час реалізації Концепції та Плану. Таким чином, існуючий підхід, за якого залучення дітей до формування політики винесено в принципи реалізації, є таким, що дозволяє якісніше та ширше реалізувати ідею з залучення дітей ніж включення певних заходів до Плану дій.</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D">
            <w:pPr>
              <w:rPr>
                <w:rFonts w:ascii="Times New Roman" w:cs="Times New Roman" w:eastAsia="Times New Roman" w:hAnsi="Times New Roman"/>
                <w:sz w:val="19"/>
                <w:szCs w:val="19"/>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05E">
            <w:pPr>
              <w:rPr>
                <w:rFonts w:ascii="Times New Roman" w:cs="Times New Roman" w:eastAsia="Times New Roman" w:hAnsi="Times New Roman"/>
                <w:sz w:val="19"/>
                <w:szCs w:val="19"/>
              </w:rPr>
            </w:pPr>
            <w:r w:rsidDel="00000000" w:rsidR="00000000" w:rsidRPr="00000000">
              <w:rPr>
                <w:rtl w:val="0"/>
              </w:rPr>
            </w:r>
          </w:p>
        </w:tc>
      </w:tr>
    </w:tbl>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tl w:val="0"/>
        </w:rPr>
      </w:r>
    </w:p>
    <w:sectPr>
      <w:pgSz w:h="11906" w:w="16838"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