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АНАЛІЗ РЕГУЛЯТОРНОГО ВПЛИВУ</w:t>
      </w:r>
    </w:p>
    <w:p w:rsidR="001D775F" w:rsidRDefault="008B5BFE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до проекту Закону України “Про внесення зміни до Закону України “Про регулювання містобудівної діяльності” щодо спрощення розміщення технічних засобів телекомунікацій”</w:t>
      </w:r>
    </w:p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І. Визначення проблеми</w:t>
      </w:r>
    </w:p>
    <w:p w:rsidR="001D775F" w:rsidRDefault="008B5BF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Відповідно до пункту 1 доручення Прем’єр-міністра України від 07</w:t>
      </w:r>
      <w:r>
        <w:rPr>
          <w:sz w:val="28"/>
          <w:szCs w:val="28"/>
        </w:rPr>
        <w:t xml:space="preserve">.10.2020 № 41636/0/1-20 наказом </w:t>
      </w:r>
      <w:proofErr w:type="spellStart"/>
      <w:r>
        <w:rPr>
          <w:sz w:val="28"/>
          <w:szCs w:val="28"/>
        </w:rPr>
        <w:t>Мінцифри</w:t>
      </w:r>
      <w:proofErr w:type="spellEnd"/>
      <w:r>
        <w:rPr>
          <w:sz w:val="28"/>
          <w:szCs w:val="28"/>
        </w:rPr>
        <w:t xml:space="preserve"> від 19.10.2020 № 154 утворено робочу групу </w:t>
      </w:r>
      <w:r>
        <w:rPr>
          <w:sz w:val="28"/>
          <w:szCs w:val="28"/>
          <w:highlight w:val="white"/>
        </w:rPr>
        <w:t>для опрацювання питань прискорення розвитку мережі широкосмугового доступу до Інтернету на об’єктах транспортної інфраструктури, удосконалення процесу виділення земельних д</w:t>
      </w:r>
      <w:r>
        <w:rPr>
          <w:sz w:val="28"/>
          <w:szCs w:val="28"/>
          <w:highlight w:val="white"/>
        </w:rPr>
        <w:t>ілянок, надання дозволів на будівництво та прискорення підключення до електромереж з метою покриття 95% населення країни мобільним широкосмуговим доступом до Інтернету.</w:t>
      </w:r>
    </w:p>
    <w:p w:rsidR="001D775F" w:rsidRDefault="008B5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26.10.2020 відбулося перше засідання цієї робочої групи за участі представників Міністе</w:t>
      </w:r>
      <w:r>
        <w:rPr>
          <w:sz w:val="28"/>
          <w:szCs w:val="28"/>
        </w:rPr>
        <w:t xml:space="preserve">рства цифрової трансформації України, Міністерства розвитку громад та територій України, Державної служби України з питань геодезії, картографії та кадастру, Державної інспекції містобудування України, Фонду державного майна України, ПрАТ “Київстар”, ПрАТ </w:t>
      </w: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Водафон</w:t>
      </w:r>
      <w:proofErr w:type="spellEnd"/>
      <w:r>
        <w:rPr>
          <w:sz w:val="28"/>
          <w:szCs w:val="28"/>
        </w:rPr>
        <w:t>”,            ТОВ “</w:t>
      </w:r>
      <w:proofErr w:type="spellStart"/>
      <w:r>
        <w:rPr>
          <w:sz w:val="28"/>
          <w:szCs w:val="28"/>
        </w:rPr>
        <w:t>лайфселл</w:t>
      </w:r>
      <w:proofErr w:type="spellEnd"/>
      <w:r>
        <w:rPr>
          <w:sz w:val="28"/>
          <w:szCs w:val="28"/>
        </w:rPr>
        <w:t>”, ТОВ “</w:t>
      </w:r>
      <w:proofErr w:type="spellStart"/>
      <w:r>
        <w:rPr>
          <w:sz w:val="28"/>
          <w:szCs w:val="28"/>
        </w:rPr>
        <w:t>УкрТАУЕР</w:t>
      </w:r>
      <w:proofErr w:type="spellEnd"/>
      <w:r>
        <w:rPr>
          <w:sz w:val="28"/>
          <w:szCs w:val="28"/>
        </w:rPr>
        <w:t>” і Української асоціації операторів зв'язку “</w:t>
      </w:r>
      <w:proofErr w:type="spellStart"/>
      <w:r>
        <w:rPr>
          <w:sz w:val="28"/>
          <w:szCs w:val="28"/>
        </w:rPr>
        <w:t>Телас</w:t>
      </w:r>
      <w:proofErr w:type="spellEnd"/>
      <w:r>
        <w:rPr>
          <w:sz w:val="28"/>
          <w:szCs w:val="28"/>
        </w:rPr>
        <w:t>”, на якому розглядалося питання удосконалення процесу виділення земельних ділянок.</w:t>
      </w:r>
    </w:p>
    <w:p w:rsidR="001D775F" w:rsidRDefault="008B5BFE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засіданні були озвучені основні проблеми, які виникають у мобільних</w:t>
      </w:r>
      <w:r>
        <w:rPr>
          <w:sz w:val="28"/>
          <w:szCs w:val="28"/>
        </w:rPr>
        <w:t xml:space="preserve"> операторів при подальшому розгортанні мережі 4G. Це, зокрема, тривалі процеси </w:t>
      </w:r>
      <w:r>
        <w:rPr>
          <w:color w:val="000000"/>
          <w:sz w:val="28"/>
          <w:szCs w:val="28"/>
          <w:highlight w:val="white"/>
        </w:rPr>
        <w:t>розробки детального плану території та прийняття рішення по клопотанню про розробку проекту землеустрою. Загалом процес отримання дозволів для початку будівництва базових станці</w:t>
      </w:r>
      <w:r>
        <w:rPr>
          <w:color w:val="000000"/>
          <w:sz w:val="28"/>
          <w:szCs w:val="28"/>
          <w:highlight w:val="white"/>
        </w:rPr>
        <w:t xml:space="preserve">й займає від 10 до 20 місяців. Таким чином, </w:t>
      </w:r>
      <w:r>
        <w:rPr>
          <w:sz w:val="28"/>
          <w:szCs w:val="28"/>
        </w:rPr>
        <w:t xml:space="preserve">подолання цифрового розриву між міським та сільським населенням не пришвидшується, </w:t>
      </w:r>
      <w:r>
        <w:rPr>
          <w:color w:val="000000"/>
          <w:sz w:val="28"/>
          <w:szCs w:val="28"/>
          <w:highlight w:val="white"/>
        </w:rPr>
        <w:t xml:space="preserve">розгортання мережі 4G сповільнюється при наявності технічної можливості з боку </w:t>
      </w:r>
      <w:r>
        <w:rPr>
          <w:sz w:val="28"/>
          <w:szCs w:val="28"/>
          <w:highlight w:val="white"/>
        </w:rPr>
        <w:t>мобільних</w:t>
      </w:r>
      <w:r>
        <w:rPr>
          <w:color w:val="000000"/>
          <w:sz w:val="28"/>
          <w:szCs w:val="28"/>
          <w:highlight w:val="white"/>
        </w:rPr>
        <w:t xml:space="preserve"> операторів, що блокує ефективне та вчасн</w:t>
      </w:r>
      <w:r>
        <w:rPr>
          <w:color w:val="000000"/>
          <w:sz w:val="28"/>
          <w:szCs w:val="28"/>
          <w:highlight w:val="white"/>
        </w:rPr>
        <w:t xml:space="preserve">е виконання </w:t>
      </w:r>
      <w:r>
        <w:rPr>
          <w:sz w:val="28"/>
          <w:szCs w:val="28"/>
          <w:highlight w:val="white"/>
        </w:rPr>
        <w:t>цілі</w:t>
      </w:r>
      <w:r>
        <w:rPr>
          <w:color w:val="000000"/>
          <w:sz w:val="28"/>
          <w:szCs w:val="28"/>
          <w:highlight w:val="white"/>
        </w:rPr>
        <w:t xml:space="preserve"> 2.2 розділу </w:t>
      </w:r>
      <w:r>
        <w:rPr>
          <w:sz w:val="28"/>
          <w:szCs w:val="28"/>
          <w:highlight w:val="white"/>
        </w:rPr>
        <w:t>“</w:t>
      </w:r>
      <w:r>
        <w:rPr>
          <w:color w:val="000000"/>
          <w:sz w:val="28"/>
          <w:szCs w:val="28"/>
          <w:highlight w:val="white"/>
        </w:rPr>
        <w:t>Довгострокові пріоритети діяльності Уряду</w:t>
      </w:r>
      <w:r>
        <w:rPr>
          <w:sz w:val="28"/>
          <w:szCs w:val="28"/>
          <w:highlight w:val="white"/>
        </w:rPr>
        <w:t>”</w:t>
      </w:r>
      <w:r>
        <w:rPr>
          <w:color w:val="000000"/>
          <w:sz w:val="28"/>
          <w:szCs w:val="28"/>
          <w:highlight w:val="white"/>
        </w:rPr>
        <w:t xml:space="preserve"> Програми діяльності Кабінету Міністрів України, затвердженої постановою Уряду від </w:t>
      </w:r>
      <w:r>
        <w:rPr>
          <w:color w:val="000000"/>
          <w:sz w:val="28"/>
          <w:szCs w:val="28"/>
        </w:rPr>
        <w:t>12.06.2020 № 471, щодо розвитку мереж доступу до Інтернету, створення умов для мобільних технологій ч</w:t>
      </w:r>
      <w:r>
        <w:rPr>
          <w:color w:val="000000"/>
          <w:sz w:val="28"/>
          <w:szCs w:val="28"/>
        </w:rPr>
        <w:t xml:space="preserve">етвертого та п’ятого поколінь. </w:t>
      </w:r>
      <w:r>
        <w:rPr>
          <w:color w:val="000000"/>
          <w:sz w:val="28"/>
          <w:szCs w:val="28"/>
          <w:highlight w:val="white"/>
        </w:rPr>
        <w:t>Але цю</w:t>
      </w:r>
      <w:r>
        <w:rPr>
          <w:sz w:val="28"/>
          <w:szCs w:val="28"/>
          <w:highlight w:val="white"/>
        </w:rPr>
        <w:t xml:space="preserve"> процедуру</w:t>
      </w:r>
      <w:r>
        <w:rPr>
          <w:color w:val="000000"/>
          <w:sz w:val="28"/>
          <w:szCs w:val="28"/>
          <w:highlight w:val="white"/>
        </w:rPr>
        <w:t xml:space="preserve"> вже зараз можна суттєво </w:t>
      </w:r>
      <w:r>
        <w:rPr>
          <w:sz w:val="28"/>
          <w:szCs w:val="28"/>
          <w:highlight w:val="white"/>
        </w:rPr>
        <w:t>спростити</w:t>
      </w:r>
      <w:r>
        <w:rPr>
          <w:color w:val="000000"/>
          <w:sz w:val="28"/>
          <w:szCs w:val="28"/>
          <w:highlight w:val="white"/>
        </w:rPr>
        <w:t>.</w:t>
      </w:r>
    </w:p>
    <w:p w:rsidR="001D775F" w:rsidRDefault="008B5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Частиною третьою статті 24 Закону України “Про регулювання містобудівної діяльності” (далі – Закон) встановлена заборона передачі (надання) земельних ділянок із земель держа</w:t>
      </w:r>
      <w:r>
        <w:rPr>
          <w:sz w:val="28"/>
          <w:szCs w:val="28"/>
        </w:rPr>
        <w:t>вної або комунальної власності у власність чи користування фізичним та юридичним особам для містобудівних потреб у разі відсутності  плану  зонування  або  детального  плану  території,  затвердженого</w:t>
      </w:r>
      <w:r w:rsidR="00A33215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відповідно до вимог цього Закону.</w:t>
      </w:r>
    </w:p>
    <w:p w:rsidR="001D775F" w:rsidRDefault="008B5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Разом з тим, Розділом</w:t>
      </w:r>
      <w:r>
        <w:rPr>
          <w:sz w:val="28"/>
          <w:szCs w:val="28"/>
        </w:rPr>
        <w:t xml:space="preserve"> V “Прикінцеві положення” Закону передбачені особливості застосування окремих його норм. Зокрема, пунктом 6</w:t>
      </w:r>
      <w:r w:rsidRPr="00A3321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встановлено, що дія частини третьої статті 24 Закону не поширюється на надання земельних ділянок на Алеї Героїв Небесної Сотні у місті Києві в кор</w:t>
      </w:r>
      <w:r>
        <w:rPr>
          <w:sz w:val="28"/>
          <w:szCs w:val="28"/>
        </w:rPr>
        <w:t xml:space="preserve">истування Національному меморіальному комплексу Героїв Небесної Сотні - Музею Революції Гідності для будівництва, експлуатації та обслуговування </w:t>
      </w:r>
      <w:proofErr w:type="spellStart"/>
      <w:r>
        <w:rPr>
          <w:sz w:val="28"/>
          <w:szCs w:val="28"/>
        </w:rPr>
        <w:t>меморіально</w:t>
      </w:r>
      <w:proofErr w:type="spellEnd"/>
      <w:r>
        <w:rPr>
          <w:sz w:val="28"/>
          <w:szCs w:val="28"/>
        </w:rPr>
        <w:t>-музейного комплексу.</w:t>
      </w:r>
    </w:p>
    <w:p w:rsidR="001D775F" w:rsidRDefault="008B5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Закону України “Про внесення зміни Закону України “Про регулювання мі</w:t>
      </w:r>
      <w:r>
        <w:rPr>
          <w:sz w:val="28"/>
          <w:szCs w:val="28"/>
        </w:rPr>
        <w:t>стобудівної діяльності” щодо спрощення розміщення технічних засобів телекомунікацій” (далі - проект Закону) пропонується доповнити розділ V Закону пунктом 6</w:t>
      </w:r>
      <w:r w:rsidRPr="00A33215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щодо непоширення заборони, встановленої частиною третьою статті 24 Закону, на надання земельних д</w:t>
      </w:r>
      <w:r>
        <w:rPr>
          <w:sz w:val="28"/>
          <w:szCs w:val="28"/>
        </w:rPr>
        <w:t xml:space="preserve">ілянок площею до </w:t>
      </w:r>
      <w:r>
        <w:rPr>
          <w:sz w:val="28"/>
          <w:szCs w:val="28"/>
          <w:highlight w:val="white"/>
        </w:rPr>
        <w:t>0.05</w:t>
      </w:r>
      <w:r>
        <w:rPr>
          <w:sz w:val="28"/>
          <w:szCs w:val="28"/>
        </w:rPr>
        <w:t xml:space="preserve"> га, розташованих у межах сіл і селищ, а також розташованих за межами населених пунктів (крім особливо цінних земель), для будівництва, експлуатації та обслуговування технічних засобів телекомунікацій та/або споруд електрозв’язку (крім</w:t>
      </w:r>
      <w:r>
        <w:rPr>
          <w:sz w:val="28"/>
          <w:szCs w:val="28"/>
        </w:rPr>
        <w:t xml:space="preserve"> лінійних), що є складовими телекомунікаційних мереж, в тому числі, базових станцій мобільного зв’язку та їх ліній зовнішнього електроживлення. При цьому, проект акта враховує зміну термінології, передбачену Законом України “Про електронні комунікації”.</w:t>
      </w:r>
    </w:p>
    <w:p w:rsidR="001D775F" w:rsidRDefault="008B5BFE">
      <w:pPr>
        <w:widowControl/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Також, передбачається встановити заборону на використання таких земельних ділянок для інших потреб та на подальшу зміну їх цільового призначення.</w:t>
      </w:r>
    </w:p>
    <w:p w:rsidR="001D775F" w:rsidRDefault="008B5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Основні групи, на які проблема справляє вплив:</w:t>
      </w:r>
    </w:p>
    <w:p w:rsidR="001D775F" w:rsidRDefault="001D775F">
      <w:pPr>
        <w:rPr>
          <w:sz w:val="16"/>
          <w:szCs w:val="16"/>
        </w:rPr>
      </w:pPr>
    </w:p>
    <w:tbl>
      <w:tblPr>
        <w:tblStyle w:val="a5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55"/>
        <w:gridCol w:w="1605"/>
        <w:gridCol w:w="1479"/>
      </w:tblGrid>
      <w:tr w:rsidR="001D775F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Групи (підгрупи)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Так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Ні</w:t>
            </w:r>
          </w:p>
        </w:tc>
      </w:tr>
      <w:tr w:rsidR="001D775F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Громадяни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1D77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1D775F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Держава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1D77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D775F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Суб’єкти господарювання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1D77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140" w:firstLine="709"/>
        <w:jc w:val="both"/>
        <w:rPr>
          <w:color w:val="000000"/>
          <w:sz w:val="16"/>
          <w:szCs w:val="16"/>
        </w:rPr>
      </w:pP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Проблема, яку пропонується врегулювати в результаті прийняття акта, не може бути розв’язана за д</w:t>
      </w:r>
      <w:r>
        <w:rPr>
          <w:color w:val="000000"/>
          <w:sz w:val="28"/>
          <w:szCs w:val="28"/>
          <w:highlight w:val="white"/>
        </w:rPr>
        <w:t xml:space="preserve">опомогою ринкових механізмів, оскільки проект Закону передбачає її розв’язання шляхом дерегуляції виділення земельної ділянки, що перебуває у державній або комунальній власності, </w:t>
      </w:r>
      <w:r>
        <w:rPr>
          <w:sz w:val="28"/>
          <w:szCs w:val="28"/>
        </w:rPr>
        <w:t xml:space="preserve">для розміщення технічних засобів телекомунікацій </w:t>
      </w:r>
      <w:r>
        <w:rPr>
          <w:color w:val="000000"/>
          <w:sz w:val="28"/>
          <w:szCs w:val="28"/>
          <w:highlight w:val="white"/>
        </w:rPr>
        <w:t>у разі відсутності плану зон</w:t>
      </w:r>
      <w:r>
        <w:rPr>
          <w:color w:val="000000"/>
          <w:sz w:val="28"/>
          <w:szCs w:val="28"/>
          <w:highlight w:val="white"/>
        </w:rPr>
        <w:t>ування</w:t>
      </w:r>
      <w:r>
        <w:rPr>
          <w:color w:val="000000"/>
          <w:sz w:val="28"/>
          <w:szCs w:val="28"/>
        </w:rPr>
        <w:t xml:space="preserve"> або детального плану території, затвердженого відповідно до вимог Закону.</w:t>
      </w: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  <w:r>
        <w:rPr>
          <w:color w:val="000000"/>
          <w:sz w:val="28"/>
          <w:szCs w:val="28"/>
        </w:rPr>
        <w:t xml:space="preserve">Проблема </w:t>
      </w:r>
      <w:r>
        <w:rPr>
          <w:color w:val="000000"/>
          <w:sz w:val="28"/>
          <w:szCs w:val="28"/>
          <w:highlight w:val="white"/>
        </w:rPr>
        <w:t>не може бути розв’язана за допомогою діючих регуляторних актів, оскільки на даний час відсутні такі а</w:t>
      </w:r>
      <w:r>
        <w:rPr>
          <w:sz w:val="28"/>
          <w:szCs w:val="28"/>
          <w:highlight w:val="white"/>
        </w:rPr>
        <w:t>кти, які</w:t>
      </w:r>
      <w:r>
        <w:rPr>
          <w:color w:val="000000"/>
          <w:sz w:val="28"/>
          <w:szCs w:val="28"/>
          <w:highlight w:val="white"/>
        </w:rPr>
        <w:t xml:space="preserve"> передбачають механізми спрощеної процедури </w:t>
      </w:r>
      <w:r>
        <w:rPr>
          <w:color w:val="000000"/>
          <w:sz w:val="28"/>
          <w:szCs w:val="28"/>
        </w:rPr>
        <w:t>виділення зем</w:t>
      </w:r>
      <w:r>
        <w:rPr>
          <w:color w:val="000000"/>
          <w:sz w:val="28"/>
          <w:szCs w:val="28"/>
        </w:rPr>
        <w:t>ель</w:t>
      </w:r>
      <w:r>
        <w:rPr>
          <w:sz w:val="28"/>
          <w:szCs w:val="28"/>
        </w:rPr>
        <w:t>них ділянок мобільним операторам для розміщення технічних засобів телекомунікацій та розгортання мобільної мережі</w:t>
      </w:r>
      <w:r>
        <w:rPr>
          <w:color w:val="000000"/>
          <w:sz w:val="28"/>
          <w:szCs w:val="28"/>
        </w:rPr>
        <w:t>.</w:t>
      </w:r>
    </w:p>
    <w:p w:rsidR="001D775F" w:rsidRDefault="001D775F" w:rsidP="00A3321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highlight w:val="white"/>
        </w:rPr>
      </w:pPr>
    </w:p>
    <w:p w:rsidR="001D775F" w:rsidRDefault="008B5BFE">
      <w:pPr>
        <w:widowControl/>
        <w:ind w:firstLine="709"/>
        <w:jc w:val="both"/>
      </w:pPr>
      <w:r>
        <w:rPr>
          <w:b/>
          <w:sz w:val="28"/>
          <w:szCs w:val="28"/>
        </w:rPr>
        <w:t>ІІ. Цілі державного регулювання</w:t>
      </w:r>
    </w:p>
    <w:p w:rsidR="001D775F" w:rsidRDefault="008B5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Закону розроблено з метою спрощення процедури виділення земельних ділянок для розміщення технічни</w:t>
      </w:r>
      <w:r>
        <w:rPr>
          <w:sz w:val="28"/>
          <w:szCs w:val="28"/>
        </w:rPr>
        <w:t xml:space="preserve">х засобів телекомунікацій мобільних операторів, а також на виконання цілі 2.2 розділу “Довгострокові пріоритети </w:t>
      </w:r>
      <w:r>
        <w:rPr>
          <w:sz w:val="28"/>
          <w:szCs w:val="28"/>
        </w:rPr>
        <w:lastRenderedPageBreak/>
        <w:t xml:space="preserve">діяльності Уряду” Програми діяльності Кабінету Міністрів України, затвердженої постановою Кабінету Міністрів України від 12.06.2020 № 471, щодо </w:t>
      </w:r>
      <w:r>
        <w:rPr>
          <w:sz w:val="28"/>
          <w:szCs w:val="28"/>
        </w:rPr>
        <w:t xml:space="preserve">розвитку мереж доступу до Інтернету, створення умов для мобільних технологій четвертого та п’ятого поколінь, та пункту 1 доручення </w:t>
      </w:r>
      <w:r w:rsidR="00A33215">
        <w:rPr>
          <w:sz w:val="28"/>
          <w:szCs w:val="28"/>
        </w:rPr>
        <w:br/>
      </w:r>
      <w:r>
        <w:rPr>
          <w:sz w:val="28"/>
          <w:szCs w:val="28"/>
        </w:rPr>
        <w:t>Прем’єр-міністра України від 07.10.2020 № 41636/0/1-20 щодо прискорення розвитку мережі широкосмугового доступу до Інтернету.</w:t>
      </w:r>
    </w:p>
    <w:p w:rsidR="001D775F" w:rsidRDefault="001D775F" w:rsidP="00A33215">
      <w:pPr>
        <w:jc w:val="both"/>
        <w:rPr>
          <w:sz w:val="28"/>
          <w:szCs w:val="28"/>
        </w:rPr>
      </w:pP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ІІІ. Визначення та оцінка альтернативних способів досягнення цілей</w:t>
      </w:r>
    </w:p>
    <w:p w:rsidR="001D775F" w:rsidRDefault="008B5BF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left="0" w:firstLine="709"/>
        <w:jc w:val="both"/>
      </w:pPr>
      <w:r>
        <w:rPr>
          <w:color w:val="000000"/>
          <w:sz w:val="28"/>
          <w:szCs w:val="28"/>
        </w:rPr>
        <w:t>Визначення альтернативних способів</w:t>
      </w: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 час розробки проекту Закону було розглянуто такі альтернативні способи досягнення визначених цілей державного регулювання:</w:t>
      </w:r>
    </w:p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140" w:firstLine="709"/>
        <w:jc w:val="both"/>
        <w:rPr>
          <w:color w:val="000000"/>
          <w:sz w:val="16"/>
          <w:szCs w:val="16"/>
        </w:rPr>
      </w:pPr>
    </w:p>
    <w:tbl>
      <w:tblPr>
        <w:tblStyle w:val="a6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5"/>
        <w:gridCol w:w="7574"/>
      </w:tblGrid>
      <w:tr w:rsidR="001D775F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альтернатив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-284"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Опис альтернативи</w:t>
            </w:r>
          </w:p>
        </w:tc>
      </w:tr>
      <w:tr w:rsidR="001D775F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1: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31" w:firstLine="461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алишити регулювання без змін. </w:t>
            </w:r>
            <w:r>
              <w:rPr>
                <w:sz w:val="28"/>
                <w:szCs w:val="28"/>
                <w:highlight w:val="white"/>
              </w:rPr>
              <w:t>Ц</w:t>
            </w:r>
            <w:r>
              <w:rPr>
                <w:color w:val="000000"/>
                <w:sz w:val="28"/>
                <w:szCs w:val="28"/>
                <w:highlight w:val="white"/>
              </w:rPr>
              <w:t>я альтернатива є недоцільною, оскільки визначені цілі державного регулювання досягнуті не будуть і мобільним операторам не буде надана можливість оперативного розгортання базових станцій рухомого (мобільного) зв’язку на терит</w:t>
            </w:r>
            <w:r>
              <w:rPr>
                <w:color w:val="000000"/>
                <w:sz w:val="28"/>
                <w:szCs w:val="28"/>
                <w:highlight w:val="white"/>
              </w:rPr>
              <w:t>орії України з метою безперебійного забезпечення населення доступом до мобільного Інтернету.</w:t>
            </w:r>
          </w:p>
        </w:tc>
      </w:tr>
      <w:tr w:rsidR="001D775F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2: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 Закону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ind w:right="31" w:firstLine="461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</w:t>
            </w:r>
            <w:r>
              <w:rPr>
                <w:sz w:val="28"/>
                <w:szCs w:val="28"/>
                <w:highlight w:val="white"/>
              </w:rPr>
              <w:t xml:space="preserve">рийняття регуляторного акта є оптимальним способом вирішення зазначеної проблеми. Доповнення розділу </w:t>
            </w:r>
            <w:r>
              <w:rPr>
                <w:sz w:val="28"/>
                <w:szCs w:val="28"/>
              </w:rPr>
              <w:t xml:space="preserve">V “Прикінцеві положення” Закону </w:t>
            </w:r>
            <w:proofErr w:type="spellStart"/>
            <w:r>
              <w:rPr>
                <w:sz w:val="28"/>
                <w:szCs w:val="28"/>
                <w:highlight w:val="white"/>
              </w:rPr>
              <w:t>надасть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можливість виділяти земельні ділянки, що перебувають у державній або комунальній власності, для розміщення </w:t>
            </w:r>
            <w:r>
              <w:rPr>
                <w:sz w:val="28"/>
                <w:szCs w:val="28"/>
              </w:rPr>
              <w:t>технічни</w:t>
            </w:r>
            <w:r>
              <w:rPr>
                <w:sz w:val="28"/>
                <w:szCs w:val="28"/>
              </w:rPr>
              <w:t>х засобів телекомунікацій</w:t>
            </w:r>
            <w:r>
              <w:rPr>
                <w:sz w:val="28"/>
                <w:szCs w:val="28"/>
                <w:highlight w:val="white"/>
              </w:rPr>
              <w:t xml:space="preserve"> у разі відсутності плану зонування або детального плану території, затвердженого відповідно до вимог Закону, що значно зекономить часові витрати суб’єктів господарювання для подальшого розгортання мобільної мережі.</w:t>
            </w:r>
          </w:p>
        </w:tc>
      </w:tr>
    </w:tbl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140"/>
        <w:jc w:val="both"/>
        <w:rPr>
          <w:color w:val="000000"/>
          <w:sz w:val="24"/>
          <w:szCs w:val="24"/>
        </w:rPr>
      </w:pPr>
    </w:p>
    <w:p w:rsidR="001D775F" w:rsidRDefault="008B5BF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140" w:firstLine="709"/>
        <w:jc w:val="both"/>
      </w:pPr>
      <w:r>
        <w:rPr>
          <w:color w:val="000000"/>
          <w:sz w:val="28"/>
          <w:szCs w:val="28"/>
        </w:rPr>
        <w:t>Оцінка вибраних альтернативних способів досягнення цілей</w:t>
      </w: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993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Оцінка впливу на сферу інтересів держави</w:t>
      </w:r>
    </w:p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tbl>
      <w:tblPr>
        <w:tblStyle w:val="a7"/>
        <w:tblW w:w="9645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6105"/>
        <w:gridCol w:w="1395"/>
      </w:tblGrid>
      <w:tr w:rsidR="001D775F">
        <w:trPr>
          <w:trHeight w:val="83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альтернатив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Вигоди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Витрати</w:t>
            </w:r>
          </w:p>
        </w:tc>
      </w:tr>
      <w:tr w:rsidR="001D775F">
        <w:trPr>
          <w:trHeight w:val="47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Альтернатива 1:</w:t>
            </w:r>
          </w:p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</w:t>
            </w:r>
          </w:p>
        </w:tc>
      </w:tr>
      <w:tr w:rsidR="001D775F">
        <w:trPr>
          <w:trHeight w:val="47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Альтернатива 2:</w:t>
            </w:r>
          </w:p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прийняття Закону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Високі, оскільки будуть створені умови для швидкого забезпечення населення доступом до інтернету, що у свою чергу </w:t>
            </w:r>
            <w:proofErr w:type="spellStart"/>
            <w:r>
              <w:rPr>
                <w:sz w:val="28"/>
                <w:szCs w:val="28"/>
              </w:rPr>
              <w:t>надасть</w:t>
            </w:r>
            <w:proofErr w:type="spellEnd"/>
            <w:r>
              <w:rPr>
                <w:sz w:val="28"/>
                <w:szCs w:val="28"/>
              </w:rPr>
              <w:t xml:space="preserve"> можливість зменшити  цифровий розрив в Україні і </w:t>
            </w:r>
            <w:proofErr w:type="spellStart"/>
            <w:r>
              <w:rPr>
                <w:sz w:val="28"/>
                <w:szCs w:val="28"/>
              </w:rPr>
              <w:t>оперативно</w:t>
            </w:r>
            <w:proofErr w:type="spellEnd"/>
            <w:r>
              <w:rPr>
                <w:sz w:val="28"/>
                <w:szCs w:val="28"/>
              </w:rPr>
              <w:t xml:space="preserve"> надавати соціальні та адміністративні послуги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</w:t>
            </w:r>
          </w:p>
        </w:tc>
      </w:tr>
    </w:tbl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right="140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Оцінка впливу на сферу інтересів громадян</w:t>
      </w:r>
      <w:r>
        <w:rPr>
          <w:color w:val="000000"/>
          <w:sz w:val="28"/>
          <w:szCs w:val="28"/>
        </w:rPr>
        <w:t xml:space="preserve"> </w:t>
      </w:r>
    </w:p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16"/>
          <w:szCs w:val="16"/>
        </w:rPr>
      </w:pPr>
    </w:p>
    <w:tbl>
      <w:tblPr>
        <w:tblStyle w:val="a8"/>
        <w:tblW w:w="969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2115"/>
        <w:gridCol w:w="3810"/>
        <w:gridCol w:w="3765"/>
      </w:tblGrid>
      <w:tr w:rsidR="001D775F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альтернатив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Вигоди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</w:t>
            </w:r>
          </w:p>
        </w:tc>
      </w:tr>
      <w:tr w:rsidR="001D775F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1: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Тривале очікування на доступ до мобільного зв'язку, і як наслідок - низька якість або повна відсутність зв'язку в окремих населених пунктах, відсутність можливості дистанційного навчання учнів</w:t>
            </w:r>
          </w:p>
        </w:tc>
      </w:tr>
      <w:tr w:rsidR="001D775F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2: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 Закону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Високі, оскільки громадяни шв</w:t>
            </w:r>
            <w:r>
              <w:rPr>
                <w:sz w:val="28"/>
                <w:szCs w:val="28"/>
                <w:highlight w:val="white"/>
              </w:rPr>
              <w:t xml:space="preserve">идше будуть забезпечені доступом до мобільного інтернету, що в свою чергу </w:t>
            </w:r>
            <w:proofErr w:type="spellStart"/>
            <w:r>
              <w:rPr>
                <w:sz w:val="28"/>
                <w:szCs w:val="28"/>
                <w:highlight w:val="white"/>
              </w:rPr>
              <w:t>надасть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можливість </w:t>
            </w:r>
            <w:proofErr w:type="spellStart"/>
            <w:r>
              <w:rPr>
                <w:sz w:val="28"/>
                <w:szCs w:val="28"/>
                <w:highlight w:val="white"/>
              </w:rPr>
              <w:t>оперативно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отримувати соціальні та адміністративні послуги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</w:tr>
    </w:tbl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8"/>
          <w:szCs w:val="28"/>
        </w:rPr>
      </w:pP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highlight w:val="white"/>
        </w:rPr>
        <w:t>Оцінка впливу на сферу інтересів суб’єктів господарювання</w:t>
      </w:r>
    </w:p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color w:val="000000"/>
          <w:sz w:val="16"/>
          <w:szCs w:val="16"/>
        </w:rPr>
      </w:pPr>
    </w:p>
    <w:tbl>
      <w:tblPr>
        <w:tblStyle w:val="a9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1134"/>
        <w:gridCol w:w="1176"/>
        <w:gridCol w:w="1050"/>
        <w:gridCol w:w="1095"/>
        <w:gridCol w:w="1073"/>
      </w:tblGrid>
      <w:tr w:rsidR="001D775F">
        <w:trPr>
          <w:trHeight w:val="306"/>
        </w:trPr>
        <w:tc>
          <w:tcPr>
            <w:tcW w:w="4111" w:type="dxa"/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Показник</w:t>
            </w:r>
          </w:p>
        </w:tc>
        <w:tc>
          <w:tcPr>
            <w:tcW w:w="1134" w:type="dxa"/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-203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Великі</w:t>
            </w:r>
          </w:p>
        </w:tc>
        <w:tc>
          <w:tcPr>
            <w:tcW w:w="1176" w:type="dxa"/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"/>
              </w:tabs>
              <w:ind w:right="-68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Середні</w:t>
            </w:r>
          </w:p>
        </w:tc>
        <w:tc>
          <w:tcPr>
            <w:tcW w:w="1050" w:type="dxa"/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ind w:right="-4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Малі</w:t>
            </w:r>
          </w:p>
        </w:tc>
        <w:tc>
          <w:tcPr>
            <w:tcW w:w="1095" w:type="dxa"/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ind w:right="-13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Мікро</w:t>
            </w:r>
          </w:p>
        </w:tc>
        <w:tc>
          <w:tcPr>
            <w:tcW w:w="1073" w:type="dxa"/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ind w:right="12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Разом</w:t>
            </w:r>
          </w:p>
        </w:tc>
      </w:tr>
      <w:tr w:rsidR="001D775F">
        <w:trPr>
          <w:trHeight w:val="280"/>
        </w:trPr>
        <w:tc>
          <w:tcPr>
            <w:tcW w:w="4111" w:type="dxa"/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Кількість суб’єктів господарювання, які підпадають під дію регулювання, одиниць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1D775F" w:rsidRDefault="008B5BFE">
            <w:pPr>
              <w:widowControl/>
              <w:tabs>
                <w:tab w:val="left" w:pos="1406"/>
              </w:tabs>
              <w:ind w:right="-6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1D775F" w:rsidRDefault="008B5BFE">
            <w:pPr>
              <w:widowControl/>
              <w:tabs>
                <w:tab w:val="left" w:pos="1406"/>
              </w:tabs>
              <w:ind w:left="-77" w:right="-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0</w:t>
            </w:r>
          </w:p>
        </w:tc>
        <w:tc>
          <w:tcPr>
            <w:tcW w:w="1073" w:type="dxa"/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-75" w:right="-4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</w:tr>
      <w:tr w:rsidR="001D775F">
        <w:trPr>
          <w:trHeight w:val="763"/>
        </w:trPr>
        <w:tc>
          <w:tcPr>
            <w:tcW w:w="4111" w:type="dxa"/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Питома вага групи у загальній кількості, відсотків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1D775F" w:rsidRDefault="008B5BFE">
            <w:pPr>
              <w:widowControl/>
              <w:tabs>
                <w:tab w:val="left" w:pos="1406"/>
              </w:tabs>
              <w:ind w:right="-6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100%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1D775F" w:rsidRDefault="008B5BFE">
            <w:pPr>
              <w:widowControl/>
              <w:tabs>
                <w:tab w:val="left" w:pos="1406"/>
              </w:tabs>
              <w:ind w:left="-77" w:right="-4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0%</w:t>
            </w:r>
          </w:p>
        </w:tc>
        <w:tc>
          <w:tcPr>
            <w:tcW w:w="1073" w:type="dxa"/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-68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100%</w:t>
            </w:r>
          </w:p>
        </w:tc>
      </w:tr>
    </w:tbl>
    <w:p w:rsidR="00A33215" w:rsidRDefault="00A33215" w:rsidP="00A33215">
      <w:pPr>
        <w:widowControl/>
        <w:tabs>
          <w:tab w:val="left" w:pos="1406"/>
        </w:tabs>
        <w:rPr>
          <w:b/>
          <w:sz w:val="28"/>
          <w:szCs w:val="28"/>
          <w:highlight w:val="white"/>
        </w:rPr>
      </w:pPr>
      <w:bookmarkStart w:id="2" w:name="_s6wlkrcv255q" w:colFirst="0" w:colLast="0"/>
      <w:bookmarkEnd w:id="2"/>
    </w:p>
    <w:p w:rsidR="00A33215" w:rsidRDefault="00A33215">
      <w:pPr>
        <w:widowControl/>
        <w:tabs>
          <w:tab w:val="left" w:pos="1406"/>
        </w:tabs>
        <w:jc w:val="center"/>
        <w:rPr>
          <w:b/>
          <w:sz w:val="28"/>
          <w:szCs w:val="28"/>
          <w:highlight w:val="white"/>
        </w:rPr>
      </w:pPr>
    </w:p>
    <w:p w:rsidR="001D775F" w:rsidRDefault="008B5BFE">
      <w:pPr>
        <w:widowControl/>
        <w:tabs>
          <w:tab w:val="left" w:pos="1406"/>
        </w:tabs>
        <w:jc w:val="center"/>
        <w:rPr>
          <w:b/>
          <w:sz w:val="28"/>
          <w:szCs w:val="28"/>
          <w:highlight w:val="white"/>
        </w:rPr>
      </w:pPr>
      <w:bookmarkStart w:id="3" w:name="_vyhfso6pp4mr" w:colFirst="0" w:colLast="0"/>
      <w:bookmarkEnd w:id="3"/>
      <w:r>
        <w:rPr>
          <w:b/>
          <w:sz w:val="28"/>
          <w:szCs w:val="28"/>
          <w:highlight w:val="white"/>
        </w:rPr>
        <w:t>ВИТРАТИ</w:t>
      </w:r>
    </w:p>
    <w:p w:rsidR="001D775F" w:rsidRDefault="008B5BFE">
      <w:pPr>
        <w:widowControl/>
        <w:tabs>
          <w:tab w:val="left" w:pos="1406"/>
        </w:tabs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на одного суб’єкта господарювання великого і середнього підприємництва, які виникають внаслідок дії регуляторного акта</w:t>
      </w:r>
    </w:p>
    <w:p w:rsidR="001D775F" w:rsidRDefault="008B5BFE">
      <w:pPr>
        <w:widowControl/>
        <w:tabs>
          <w:tab w:val="left" w:pos="1406"/>
        </w:tabs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 </w:t>
      </w:r>
    </w:p>
    <w:tbl>
      <w:tblPr>
        <w:tblStyle w:val="aa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4830"/>
        <w:gridCol w:w="1725"/>
        <w:gridCol w:w="1680"/>
      </w:tblGrid>
      <w:tr w:rsidR="001D775F">
        <w:trPr>
          <w:trHeight w:val="45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Порядковий номер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 перший рік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 п’ять років</w:t>
            </w:r>
          </w:p>
        </w:tc>
      </w:tr>
      <w:tr w:rsidR="001D775F">
        <w:trPr>
          <w:trHeight w:val="165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відсутні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відсутні</w:t>
            </w:r>
          </w:p>
        </w:tc>
      </w:tr>
      <w:tr w:rsidR="001D775F">
        <w:trPr>
          <w:trHeight w:val="119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540"/>
              </w:tabs>
              <w:ind w:left="20" w:right="-44" w:hanging="16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540"/>
              </w:tabs>
              <w:ind w:left="20" w:right="-44" w:hanging="16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</w:tr>
      <w:tr w:rsidR="001D775F">
        <w:trPr>
          <w:trHeight w:val="119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</w:tr>
      <w:tr w:rsidR="001D775F">
        <w:trPr>
          <w:trHeight w:val="149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Витрати, пов’язані з адмініструванням заходів державного нагляду (контролю) (перевірок, штрафних санкцій, виконання рішень/</w:t>
            </w:r>
            <w:r>
              <w:rPr>
                <w:sz w:val="28"/>
                <w:szCs w:val="28"/>
                <w:highlight w:val="white"/>
              </w:rPr>
              <w:t>приписів тощо), гривень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</w:tr>
      <w:tr w:rsidR="001D775F">
        <w:trPr>
          <w:trHeight w:val="267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</w:t>
            </w:r>
            <w:r>
              <w:rPr>
                <w:sz w:val="28"/>
                <w:szCs w:val="28"/>
                <w:highlight w:val="white"/>
              </w:rPr>
              <w:t>тощо), гривень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</w:tr>
      <w:tr w:rsidR="001D775F">
        <w:trPr>
          <w:trHeight w:val="89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відсутні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відсутні</w:t>
            </w:r>
          </w:p>
        </w:tc>
      </w:tr>
      <w:tr w:rsidR="001D775F">
        <w:trPr>
          <w:trHeight w:val="81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Витрати, пов’язані із наймом додаткового персоналу, гривень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-18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-18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</w:tr>
      <w:tr w:rsidR="001D775F">
        <w:trPr>
          <w:trHeight w:val="59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Інше (уточнити), гривень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</w:tr>
      <w:tr w:rsidR="001D775F">
        <w:trPr>
          <w:trHeight w:val="89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9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РАЗОМ (сума рядків: 1 + 2 + 3 + 4 + 5 + 6 + 7 + 8), гривень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</w:tr>
      <w:tr w:rsidR="001D775F">
        <w:trPr>
          <w:trHeight w:val="65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суб’єкти великого підприємництва - 4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</w:tr>
      <w:tr w:rsidR="001D775F">
        <w:trPr>
          <w:trHeight w:val="192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витрати відсутні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витрати відсутні </w:t>
            </w:r>
          </w:p>
        </w:tc>
      </w:tr>
    </w:tbl>
    <w:p w:rsidR="001D775F" w:rsidRDefault="001D775F">
      <w:pPr>
        <w:widowControl/>
        <w:tabs>
          <w:tab w:val="left" w:pos="1406"/>
        </w:tabs>
        <w:ind w:firstLine="720"/>
        <w:jc w:val="both"/>
        <w:rPr>
          <w:sz w:val="26"/>
          <w:szCs w:val="26"/>
          <w:highlight w:val="white"/>
        </w:rPr>
      </w:pPr>
    </w:p>
    <w:p w:rsidR="001D775F" w:rsidRDefault="008B5BFE">
      <w:pPr>
        <w:widowControl/>
        <w:tabs>
          <w:tab w:val="left" w:pos="1406"/>
        </w:tabs>
        <w:ind w:firstLine="720"/>
        <w:jc w:val="center"/>
        <w:rPr>
          <w:sz w:val="28"/>
          <w:szCs w:val="28"/>
          <w:highlight w:val="white"/>
        </w:rPr>
      </w:pPr>
      <w:bookmarkStart w:id="4" w:name="_vgxqn4hk3mmz" w:colFirst="0" w:colLast="0"/>
      <w:bookmarkEnd w:id="4"/>
      <w:r>
        <w:rPr>
          <w:sz w:val="28"/>
          <w:szCs w:val="28"/>
          <w:highlight w:val="white"/>
        </w:rPr>
        <w:t>Розрахунок відповідних витрат на одного суб’єкта господарювання</w:t>
      </w:r>
    </w:p>
    <w:p w:rsidR="001D775F" w:rsidRDefault="008B5BFE">
      <w:pPr>
        <w:widowControl/>
        <w:tabs>
          <w:tab w:val="left" w:pos="1406"/>
        </w:tabs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tbl>
      <w:tblPr>
        <w:tblStyle w:val="ab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770"/>
        <w:gridCol w:w="1665"/>
        <w:gridCol w:w="1875"/>
      </w:tblGrid>
      <w:tr w:rsidR="001D775F">
        <w:trPr>
          <w:trHeight w:val="89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Вид витрат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У перший рік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Періодичні (за рік)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за п’ять років</w:t>
            </w:r>
          </w:p>
        </w:tc>
      </w:tr>
      <w:tr w:rsidR="001D775F">
        <w:trPr>
          <w:trHeight w:val="179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</w:tr>
    </w:tbl>
    <w:p w:rsidR="001D775F" w:rsidRDefault="001D775F">
      <w:pPr>
        <w:widowControl/>
        <w:tabs>
          <w:tab w:val="left" w:pos="1406"/>
        </w:tabs>
        <w:jc w:val="both"/>
        <w:rPr>
          <w:sz w:val="28"/>
          <w:szCs w:val="28"/>
          <w:highlight w:val="white"/>
        </w:rPr>
      </w:pPr>
    </w:p>
    <w:tbl>
      <w:tblPr>
        <w:tblStyle w:val="ac"/>
        <w:tblW w:w="9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6"/>
        <w:gridCol w:w="3530"/>
        <w:gridCol w:w="1988"/>
      </w:tblGrid>
      <w:tr w:rsidR="001D775F">
        <w:trPr>
          <w:trHeight w:val="1080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Вид витрат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на сплату податків та зборів (змінених/ нововведених) (за рік)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за п’ять років</w:t>
            </w:r>
          </w:p>
        </w:tc>
      </w:tr>
      <w:tr w:rsidR="001D775F">
        <w:trPr>
          <w:trHeight w:val="1490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</w:tr>
    </w:tbl>
    <w:p w:rsidR="001D775F" w:rsidRDefault="001D775F">
      <w:pPr>
        <w:widowControl/>
        <w:tabs>
          <w:tab w:val="left" w:pos="1406"/>
        </w:tabs>
        <w:jc w:val="both"/>
        <w:rPr>
          <w:sz w:val="28"/>
          <w:szCs w:val="28"/>
          <w:highlight w:val="white"/>
        </w:rPr>
      </w:pPr>
      <w:bookmarkStart w:id="5" w:name="_e2xyhjn16rtm" w:colFirst="0" w:colLast="0"/>
      <w:bookmarkEnd w:id="5"/>
    </w:p>
    <w:tbl>
      <w:tblPr>
        <w:tblStyle w:val="ad"/>
        <w:tblW w:w="9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2"/>
        <w:gridCol w:w="1545"/>
        <w:gridCol w:w="1920"/>
        <w:gridCol w:w="1433"/>
        <w:gridCol w:w="1485"/>
      </w:tblGrid>
      <w:tr w:rsidR="001D775F">
        <w:trPr>
          <w:trHeight w:val="207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Вид витрат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на ведення обліку, підготовку та подання звітності (за рік)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на оплату штрафних санкцій за рік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Разом за рік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за п’ять років</w:t>
            </w:r>
          </w:p>
        </w:tc>
      </w:tr>
      <w:tr w:rsidR="001D775F">
        <w:trPr>
          <w:trHeight w:val="2295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</w:tr>
    </w:tbl>
    <w:p w:rsidR="001D775F" w:rsidRDefault="001D775F">
      <w:pPr>
        <w:widowControl/>
        <w:tabs>
          <w:tab w:val="left" w:pos="1406"/>
        </w:tabs>
        <w:jc w:val="both"/>
        <w:rPr>
          <w:sz w:val="28"/>
          <w:szCs w:val="28"/>
          <w:highlight w:val="white"/>
        </w:rPr>
      </w:pPr>
    </w:p>
    <w:tbl>
      <w:tblPr>
        <w:tblStyle w:val="ae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2190"/>
        <w:gridCol w:w="1920"/>
        <w:gridCol w:w="1485"/>
        <w:gridCol w:w="1327"/>
      </w:tblGrid>
      <w:tr w:rsidR="001D775F">
        <w:trPr>
          <w:trHeight w:val="2505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Вид витрат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на адміністрування заходів державного нагляду (контролю) (за рік)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Разом за рік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за п’ять років</w:t>
            </w:r>
          </w:p>
        </w:tc>
      </w:tr>
      <w:tr w:rsidR="001D775F">
        <w:trPr>
          <w:trHeight w:val="239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</w:t>
            </w:r>
          </w:p>
        </w:tc>
      </w:tr>
    </w:tbl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8"/>
          <w:szCs w:val="28"/>
          <w:highlight w:val="white"/>
        </w:rPr>
      </w:pPr>
    </w:p>
    <w:tbl>
      <w:tblPr>
        <w:tblStyle w:val="af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310"/>
        <w:gridCol w:w="2010"/>
        <w:gridCol w:w="1425"/>
        <w:gridCol w:w="1410"/>
      </w:tblGrid>
      <w:tr w:rsidR="001D775F">
        <w:trPr>
          <w:trHeight w:val="225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Вид витрат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Разом за рік (стартовий)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за п’ять років</w:t>
            </w:r>
          </w:p>
        </w:tc>
      </w:tr>
      <w:tr w:rsidR="001D775F">
        <w:trPr>
          <w:trHeight w:val="225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both"/>
              <w:rPr>
                <w:sz w:val="28"/>
                <w:szCs w:val="28"/>
                <w:highlight w:val="white"/>
              </w:rPr>
            </w:pPr>
            <w:bookmarkStart w:id="6" w:name="_7mt8lgvklv7n" w:colFirst="0" w:colLast="0"/>
            <w:bookmarkEnd w:id="6"/>
            <w:r>
              <w:rPr>
                <w:sz w:val="28"/>
                <w:szCs w:val="28"/>
                <w:highlight w:val="white"/>
              </w:rPr>
              <w:lastRenderedPageBreak/>
              <w:t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інших послуг (проведення наукових, інших експертиз, страхуванн</w:t>
            </w:r>
            <w:r>
              <w:rPr>
                <w:sz w:val="28"/>
                <w:szCs w:val="28"/>
                <w:highlight w:val="white"/>
              </w:rPr>
              <w:t>я тощо)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Відсутні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Відсутні</w:t>
            </w:r>
          </w:p>
          <w:p w:rsidR="001D775F" w:rsidRDefault="008B5BFE">
            <w:pPr>
              <w:widowControl/>
              <w:tabs>
                <w:tab w:val="left" w:pos="1406"/>
              </w:tabs>
              <w:ind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Відсутні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Відсутні</w:t>
            </w:r>
          </w:p>
        </w:tc>
      </w:tr>
    </w:tbl>
    <w:p w:rsidR="001D775F" w:rsidRDefault="001D775F">
      <w:pPr>
        <w:widowControl/>
        <w:tabs>
          <w:tab w:val="left" w:pos="1406"/>
        </w:tabs>
        <w:jc w:val="both"/>
        <w:rPr>
          <w:sz w:val="28"/>
          <w:szCs w:val="28"/>
          <w:highlight w:val="white"/>
        </w:rPr>
      </w:pPr>
      <w:bookmarkStart w:id="7" w:name="_x4xp565rxkda" w:colFirst="0" w:colLast="0"/>
      <w:bookmarkEnd w:id="7"/>
    </w:p>
    <w:tbl>
      <w:tblPr>
        <w:tblStyle w:val="af0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1770"/>
        <w:gridCol w:w="2580"/>
        <w:gridCol w:w="2730"/>
      </w:tblGrid>
      <w:tr w:rsidR="001D775F">
        <w:trPr>
          <w:trHeight w:val="89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Вид витрат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 рік (стартовий)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Періодичні (за наступний рік)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за п’ять років</w:t>
            </w:r>
          </w:p>
        </w:tc>
      </w:tr>
      <w:tr w:rsidR="001D775F">
        <w:trPr>
          <w:trHeight w:val="179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відсутні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відсутні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відсутні </w:t>
            </w:r>
          </w:p>
        </w:tc>
      </w:tr>
    </w:tbl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8"/>
          <w:szCs w:val="28"/>
          <w:highlight w:val="white"/>
        </w:rPr>
      </w:pPr>
      <w:bookmarkStart w:id="8" w:name="_tdp6uvway7ux" w:colFirst="0" w:colLast="0"/>
      <w:bookmarkEnd w:id="8"/>
    </w:p>
    <w:tbl>
      <w:tblPr>
        <w:tblStyle w:val="af1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9"/>
        <w:gridCol w:w="3470"/>
        <w:gridCol w:w="3499"/>
      </w:tblGrid>
      <w:tr w:rsidR="001D775F">
        <w:trPr>
          <w:trHeight w:val="119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Вид витрат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на оплату праці додатково найманого персоналу (за рік)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 за п’ять років</w:t>
            </w:r>
          </w:p>
        </w:tc>
      </w:tr>
      <w:tr w:rsidR="001D775F">
        <w:trPr>
          <w:trHeight w:val="149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Витрати, пов’язані із наймом додаткового персоналу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передбачені, процедура отримання в оренду земельної ділянки не потребує найму додаткового персоналу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75F" w:rsidRDefault="008B5BFE">
            <w:pPr>
              <w:widowControl/>
              <w:tabs>
                <w:tab w:val="left" w:pos="1406"/>
              </w:tabs>
              <w:ind w:right="100"/>
              <w:jc w:val="both"/>
              <w:rPr>
                <w:sz w:val="28"/>
                <w:szCs w:val="28"/>
                <w:highlight w:val="white"/>
              </w:rPr>
            </w:pPr>
            <w:bookmarkStart w:id="9" w:name="_30j0zll" w:colFirst="0" w:colLast="0"/>
            <w:bookmarkEnd w:id="9"/>
            <w:r>
              <w:rPr>
                <w:sz w:val="28"/>
                <w:szCs w:val="28"/>
                <w:highlight w:val="white"/>
              </w:rPr>
              <w:t>не передбачені, процедура отримання в оренду земельної ділянки не потребує найму додаткового персоналу</w:t>
            </w:r>
          </w:p>
        </w:tc>
      </w:tr>
    </w:tbl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color w:val="000000"/>
          <w:sz w:val="28"/>
          <w:szCs w:val="28"/>
        </w:rPr>
      </w:pPr>
    </w:p>
    <w:tbl>
      <w:tblPr>
        <w:tblStyle w:val="af2"/>
        <w:tblW w:w="9615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2145"/>
        <w:gridCol w:w="4170"/>
        <w:gridCol w:w="3300"/>
      </w:tblGrid>
      <w:tr w:rsidR="001D775F">
        <w:trPr>
          <w:trHeight w:val="22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Вид альтернатив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Вигоди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</w:t>
            </w:r>
          </w:p>
        </w:tc>
      </w:tr>
      <w:tr w:rsidR="001D775F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1: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Наявн</w:t>
            </w:r>
            <w:r>
              <w:rPr>
                <w:sz w:val="28"/>
                <w:szCs w:val="28"/>
              </w:rPr>
              <w:t>і, оскільки часові витрати та процедура виділення земельної ділянки лишаються тривалими</w:t>
            </w:r>
          </w:p>
        </w:tc>
      </w:tr>
      <w:tr w:rsidR="001D775F">
        <w:trPr>
          <w:trHeight w:val="69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2: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 Закону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ind w:left="10" w:right="33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Високі, оскільки буде скорочено час на оформлення права користування земельною ділянкою для розміщення на ній </w:t>
            </w:r>
            <w:r>
              <w:rPr>
                <w:sz w:val="28"/>
                <w:szCs w:val="28"/>
              </w:rPr>
              <w:t>технічних засобів телеко</w:t>
            </w:r>
            <w:r>
              <w:rPr>
                <w:sz w:val="28"/>
                <w:szCs w:val="28"/>
              </w:rPr>
              <w:t>мунікацій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</w:tr>
    </w:tbl>
    <w:p w:rsidR="00A33215" w:rsidRDefault="00A3321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9"/>
        <w:jc w:val="both"/>
        <w:rPr>
          <w:color w:val="000000"/>
          <w:sz w:val="28"/>
          <w:szCs w:val="28"/>
          <w:highlight w:val="white"/>
        </w:rPr>
      </w:pP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Витрати внаслідок дії регуляторного акта для суб’єктів господарювання виникати не будуть, оскільки буде скорочено час та процедуру оформлення права користування земельною ділянкою для розміщення на ній </w:t>
      </w:r>
      <w:r>
        <w:rPr>
          <w:sz w:val="28"/>
          <w:szCs w:val="28"/>
        </w:rPr>
        <w:t>технічних засобів телекомунікацій</w:t>
      </w:r>
      <w:r>
        <w:rPr>
          <w:color w:val="000000"/>
          <w:sz w:val="28"/>
          <w:szCs w:val="28"/>
          <w:highlight w:val="white"/>
        </w:rPr>
        <w:t>.</w:t>
      </w:r>
    </w:p>
    <w:p w:rsidR="001D775F" w:rsidRDefault="001D775F" w:rsidP="00A3321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/>
        <w:jc w:val="both"/>
        <w:rPr>
          <w:sz w:val="28"/>
          <w:szCs w:val="28"/>
        </w:rPr>
      </w:pP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IV. Вибір найбільш оптимального альтернативного способу досягнення цілей</w:t>
      </w: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Здійсн</w:t>
      </w:r>
      <w:r>
        <w:rPr>
          <w:sz w:val="28"/>
          <w:szCs w:val="28"/>
        </w:rPr>
        <w:t>ення</w:t>
      </w:r>
      <w:r>
        <w:rPr>
          <w:color w:val="000000"/>
          <w:sz w:val="28"/>
          <w:szCs w:val="28"/>
        </w:rPr>
        <w:t xml:space="preserve"> виб</w:t>
      </w:r>
      <w:r>
        <w:rPr>
          <w:sz w:val="28"/>
          <w:szCs w:val="28"/>
        </w:rPr>
        <w:t>ору</w:t>
      </w:r>
      <w:r>
        <w:rPr>
          <w:color w:val="000000"/>
          <w:sz w:val="28"/>
          <w:szCs w:val="28"/>
        </w:rPr>
        <w:t xml:space="preserve"> оптимального альтернативного способу з урахуванням системи бальної оцінки ступеня досягнення визначених цілей.</w:t>
      </w: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Вартість </w:t>
      </w:r>
      <w:r>
        <w:rPr>
          <w:color w:val="000000"/>
          <w:sz w:val="28"/>
          <w:szCs w:val="28"/>
          <w:highlight w:val="white"/>
        </w:rPr>
        <w:t xml:space="preserve">балів визначається за чотирибальною системою </w:t>
      </w:r>
      <w:r>
        <w:rPr>
          <w:color w:val="000000"/>
          <w:sz w:val="28"/>
          <w:szCs w:val="28"/>
          <w:highlight w:val="white"/>
        </w:rPr>
        <w:t>оцінки ступеня досягнення визначених цілей, де:</w:t>
      </w: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1) цілі прийняття Закону, які не можуть бути досягнуті (проблема продовжує існувати);</w:t>
      </w: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2) цілі прийняття Закону,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3) цілі прийняття Закону, які можуть бути досягнуті майже  повною мірою (усі важливі аспекти проб</w:t>
      </w:r>
      <w:r>
        <w:rPr>
          <w:color w:val="000000"/>
          <w:sz w:val="28"/>
          <w:szCs w:val="28"/>
          <w:highlight w:val="white"/>
        </w:rPr>
        <w:t>леми існувати не будуть);</w:t>
      </w: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4) цілі прийняття Закону, які можуть бути досягнуті повною мірою (проблема більше існувати не буде).</w:t>
      </w:r>
    </w:p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tbl>
      <w:tblPr>
        <w:tblStyle w:val="af3"/>
        <w:tblW w:w="9630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2820"/>
        <w:gridCol w:w="2325"/>
        <w:gridCol w:w="4485"/>
      </w:tblGrid>
      <w:tr w:rsidR="001D775F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27" w:right="-1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 результативності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чотирибальною системою оцінки)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Коментарі щодо присвоєння відповідного </w:t>
            </w:r>
            <w:proofErr w:type="spellStart"/>
            <w:r>
              <w:rPr>
                <w:color w:val="000000"/>
                <w:sz w:val="28"/>
                <w:szCs w:val="28"/>
              </w:rPr>
              <w:t>бала</w:t>
            </w:r>
            <w:proofErr w:type="spellEnd"/>
          </w:p>
        </w:tc>
      </w:tr>
      <w:tr w:rsidR="001D775F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1: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Проблема продовжить існувати, оскіль</w:t>
            </w:r>
            <w:r>
              <w:rPr>
                <w:sz w:val="28"/>
                <w:szCs w:val="28"/>
              </w:rPr>
              <w:t>ки мобільні оператори продовжуватимуть витрачати додатковий час для отримання в оренду земельних ділянок</w:t>
            </w:r>
          </w:p>
        </w:tc>
      </w:tr>
      <w:tr w:rsidR="001D775F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Альтернатива 2: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 Закону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Зазначений спосіб дає змогу </w:t>
            </w:r>
            <w:r>
              <w:rPr>
                <w:sz w:val="28"/>
                <w:szCs w:val="28"/>
              </w:rPr>
              <w:t xml:space="preserve">скоротити часові витрати мобільних операторів на розгортання мобільної мережі. Тому цілі прийняття регуляторного акта можуть бути досягнуті повною мірою (проблема більше існувати не буде) </w:t>
            </w:r>
          </w:p>
        </w:tc>
      </w:tr>
    </w:tbl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tbl>
      <w:tblPr>
        <w:tblStyle w:val="af4"/>
        <w:tblW w:w="96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45"/>
        <w:gridCol w:w="3180"/>
        <w:gridCol w:w="2625"/>
        <w:gridCol w:w="2325"/>
      </w:tblGrid>
      <w:tr w:rsidR="001D775F">
        <w:trPr>
          <w:trHeight w:val="55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-10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Рейтинг результативності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Вигоди (підсумок)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(підсумок)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34"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Обґрунтування відповідного місця альтернативи у рейтингу</w:t>
            </w:r>
          </w:p>
        </w:tc>
      </w:tr>
      <w:tr w:rsidR="001D775F">
        <w:trPr>
          <w:trHeight w:val="85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1: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Відсутні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Подальші надмірні часові витрати мобільних операторів на отримання права користування земельними ділянками для розгортання мобільної мережі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ind w:left="34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Альтернатива 1 не сприятиме вирішенню проблеми, тому вибір даної альтернативи не є можливим</w:t>
            </w:r>
          </w:p>
        </w:tc>
      </w:tr>
      <w:tr w:rsidR="001D775F">
        <w:trPr>
          <w:trHeight w:val="85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2: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</w:t>
            </w:r>
            <w:r>
              <w:rPr>
                <w:color w:val="000000"/>
                <w:sz w:val="28"/>
                <w:szCs w:val="28"/>
              </w:rPr>
              <w:t>ття Закону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77" w:firstLine="1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Створюються правові підстави для скорочення терміну отримання мобільними операторами земельних ділянок для розміщення на них </w:t>
            </w:r>
            <w:r>
              <w:rPr>
                <w:sz w:val="28"/>
                <w:szCs w:val="28"/>
              </w:rPr>
              <w:t>технічних засобів телекомунікацій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ind w:left="34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</w:t>
            </w:r>
          </w:p>
          <w:p w:rsidR="001D775F" w:rsidRDefault="001D775F">
            <w:pPr>
              <w:ind w:left="-284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ind w:left="34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вирішення проблеми найбільш виправданою та доцільною є Альтернатива 2, адже вона пр</w:t>
            </w:r>
            <w:r>
              <w:rPr>
                <w:sz w:val="28"/>
                <w:szCs w:val="28"/>
              </w:rPr>
              <w:t>изведе до повного вирішення проблеми, визначеної розділом I аналізу регуляторного впливу</w:t>
            </w:r>
          </w:p>
          <w:p w:rsidR="00A33215" w:rsidRDefault="00A33215">
            <w:pPr>
              <w:ind w:left="34" w:right="140"/>
              <w:jc w:val="center"/>
              <w:rPr>
                <w:sz w:val="28"/>
                <w:szCs w:val="28"/>
              </w:rPr>
            </w:pPr>
          </w:p>
          <w:p w:rsidR="00A33215" w:rsidRDefault="00A33215">
            <w:pPr>
              <w:ind w:left="34" w:right="140"/>
              <w:jc w:val="center"/>
              <w:rPr>
                <w:sz w:val="28"/>
                <w:szCs w:val="28"/>
              </w:rPr>
            </w:pPr>
          </w:p>
        </w:tc>
      </w:tr>
    </w:tbl>
    <w:p w:rsidR="001D775F" w:rsidRDefault="001D77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tbl>
      <w:tblPr>
        <w:tblStyle w:val="af5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36"/>
        <w:gridCol w:w="3840"/>
        <w:gridCol w:w="3563"/>
      </w:tblGrid>
      <w:tr w:rsidR="001D775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Рейтинг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1D775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1: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Причиною відмови від даної альтернативи є те, що вона не сприятиме вирішенню проблеми, </w:t>
            </w:r>
            <w:r>
              <w:rPr>
                <w:color w:val="000000"/>
                <w:sz w:val="28"/>
                <w:szCs w:val="28"/>
              </w:rPr>
              <w:t xml:space="preserve">оскільки мобільні оператори продовжуватимуть витрачати </w:t>
            </w:r>
            <w:r>
              <w:rPr>
                <w:sz w:val="28"/>
                <w:szCs w:val="28"/>
              </w:rPr>
              <w:t>додатковий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 на</w:t>
            </w:r>
            <w:r>
              <w:rPr>
                <w:color w:val="000000"/>
                <w:sz w:val="28"/>
                <w:szCs w:val="28"/>
              </w:rPr>
              <w:t xml:space="preserve"> отримання земельних ділянок для </w:t>
            </w:r>
            <w:r>
              <w:rPr>
                <w:sz w:val="28"/>
                <w:szCs w:val="28"/>
              </w:rPr>
              <w:t xml:space="preserve">розгортання мобільної мережі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Очікується реальний вплив зовнішні</w:t>
            </w:r>
            <w:r>
              <w:rPr>
                <w:color w:val="000000"/>
                <w:sz w:val="28"/>
                <w:szCs w:val="28"/>
              </w:rPr>
              <w:t xml:space="preserve">х факторів та зайві часові витрати суб’єктів господарювання на розміщення </w:t>
            </w:r>
            <w:r>
              <w:rPr>
                <w:sz w:val="28"/>
                <w:szCs w:val="28"/>
              </w:rPr>
              <w:t>технічних засобів телекомунікацій</w:t>
            </w:r>
          </w:p>
        </w:tc>
      </w:tr>
      <w:tr w:rsidR="001D775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Альтернатива 2:</w:t>
            </w:r>
          </w:p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 Закону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Забезпечить повною мірою досягнення поставлен</w:t>
            </w:r>
            <w:r>
              <w:rPr>
                <w:sz w:val="28"/>
                <w:szCs w:val="28"/>
              </w:rPr>
              <w:t>ої</w:t>
            </w:r>
            <w:r>
              <w:rPr>
                <w:color w:val="000000"/>
                <w:sz w:val="28"/>
                <w:szCs w:val="28"/>
              </w:rPr>
              <w:t xml:space="preserve"> цілі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75F" w:rsidRDefault="008B5B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Цей спосіб повною мірою відповідає вимогам законодавства Укра</w:t>
            </w:r>
            <w:r>
              <w:rPr>
                <w:color w:val="000000"/>
                <w:sz w:val="28"/>
                <w:szCs w:val="28"/>
              </w:rPr>
              <w:t>їни</w:t>
            </w:r>
          </w:p>
        </w:tc>
      </w:tr>
    </w:tbl>
    <w:p w:rsidR="001D775F" w:rsidRDefault="001D775F" w:rsidP="00A3321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b/>
          <w:sz w:val="28"/>
          <w:szCs w:val="28"/>
        </w:rPr>
      </w:pPr>
    </w:p>
    <w:p w:rsidR="001D775F" w:rsidRDefault="008B5B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V. Механізми та заходи, які забезпечать розв’язання визначеної проблеми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Механізмом регулювання, за допомогою якого передбачається розв’язати проблему, є прийняття закону, яким буде надано право на виділення земельної ділянки, що перебуває у державній або комунальній власності, для розміщення </w:t>
      </w:r>
      <w:r>
        <w:rPr>
          <w:sz w:val="28"/>
          <w:szCs w:val="28"/>
        </w:rPr>
        <w:t>технічних засобів телекомунікацій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>базових станцій мобільного (рухомого) зв'язку) у разі відсутності плану зонування або детального плану території, затвердженого відповідно до вимог Закону.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Запровадження регуляторного акта </w:t>
      </w:r>
      <w:proofErr w:type="spellStart"/>
      <w:r>
        <w:rPr>
          <w:sz w:val="28"/>
          <w:szCs w:val="28"/>
        </w:rPr>
        <w:t>надасть</w:t>
      </w:r>
      <w:proofErr w:type="spellEnd"/>
      <w:r>
        <w:rPr>
          <w:sz w:val="28"/>
          <w:szCs w:val="28"/>
        </w:rPr>
        <w:t xml:space="preserve"> змогу забезпечити оперативне розгортання телекомунікаційної</w:t>
      </w:r>
      <w:r>
        <w:rPr>
          <w:sz w:val="28"/>
          <w:szCs w:val="28"/>
        </w:rPr>
        <w:t xml:space="preserve"> інфраструктури на території України з метою безперебійного забезпечення населення мобільним зв'язком та доступом до мобільного широкосмугового Інтернету.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викладене, ступінь ефективності основних принципів і способів досягнення цілей оцінюється </w:t>
      </w:r>
      <w:r>
        <w:rPr>
          <w:sz w:val="28"/>
          <w:szCs w:val="28"/>
        </w:rPr>
        <w:t>як високий.</w:t>
      </w:r>
    </w:p>
    <w:p w:rsidR="001D775F" w:rsidRDefault="001D775F">
      <w:pPr>
        <w:shd w:val="clear" w:color="auto" w:fill="FFFFFF"/>
        <w:jc w:val="both"/>
        <w:rPr>
          <w:sz w:val="28"/>
          <w:szCs w:val="28"/>
        </w:rPr>
      </w:pPr>
    </w:p>
    <w:p w:rsidR="001D775F" w:rsidRDefault="008B5BFE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VІ.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Зак</w:t>
      </w:r>
      <w:r>
        <w:rPr>
          <w:sz w:val="28"/>
          <w:szCs w:val="28"/>
        </w:rPr>
        <w:t>ону не передбачає фінансових витрат для органів виконавчої влади чи органів місцевого самоврядування.</w:t>
      </w:r>
    </w:p>
    <w:p w:rsidR="001D775F" w:rsidRDefault="001D775F" w:rsidP="00A33215">
      <w:pPr>
        <w:shd w:val="clear" w:color="auto" w:fill="FFFFFF"/>
        <w:jc w:val="both"/>
        <w:rPr>
          <w:sz w:val="28"/>
          <w:szCs w:val="28"/>
        </w:rPr>
      </w:pPr>
    </w:p>
    <w:p w:rsidR="001D775F" w:rsidRDefault="008B5BF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VІІ. Обґрунтування запропонованого строку дії регуляторного акта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Термін дії нормативно-правового акта не обмежений у часі, що дасть змогу повною мірою вирішити проблемні питання.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Зміна терміну дії акта можлива у разі внесення змін до законодавства України</w:t>
      </w:r>
      <w:r>
        <w:rPr>
          <w:sz w:val="28"/>
          <w:szCs w:val="28"/>
        </w:rPr>
        <w:t>.</w:t>
      </w:r>
    </w:p>
    <w:p w:rsidR="001D775F" w:rsidRPr="00A33215" w:rsidRDefault="008B5BFE" w:rsidP="00A332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Термін набрання чинності Закону 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відповідно до законодавства пі</w:t>
      </w:r>
      <w:r>
        <w:rPr>
          <w:color w:val="000000"/>
          <w:sz w:val="28"/>
          <w:szCs w:val="28"/>
        </w:rPr>
        <w:t>сля його офіційного оприлюднення.</w:t>
      </w:r>
    </w:p>
    <w:p w:rsidR="001D775F" w:rsidRDefault="001D775F">
      <w:pPr>
        <w:shd w:val="clear" w:color="auto" w:fill="FFFFFF"/>
        <w:ind w:firstLine="566"/>
        <w:jc w:val="both"/>
        <w:rPr>
          <w:sz w:val="28"/>
          <w:szCs w:val="28"/>
        </w:rPr>
      </w:pPr>
    </w:p>
    <w:p w:rsidR="001D775F" w:rsidRDefault="008B5BF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VІІІ. Визначення показників результативності регуляторного акта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Основними показниками результативності регуляторного акта є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меншенн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часових витрат</w:t>
      </w:r>
      <w:r>
        <w:rPr>
          <w:sz w:val="28"/>
          <w:szCs w:val="28"/>
        </w:rPr>
        <w:t xml:space="preserve"> мобільних </w:t>
      </w:r>
      <w:r>
        <w:rPr>
          <w:color w:val="000000"/>
          <w:sz w:val="28"/>
          <w:szCs w:val="28"/>
        </w:rPr>
        <w:t>операторів при проходженні процедури отримання земельних діля</w:t>
      </w:r>
      <w:r>
        <w:rPr>
          <w:color w:val="000000"/>
          <w:sz w:val="28"/>
          <w:szCs w:val="28"/>
        </w:rPr>
        <w:t xml:space="preserve">нок для розміщення на них </w:t>
      </w:r>
      <w:r>
        <w:rPr>
          <w:sz w:val="28"/>
          <w:szCs w:val="28"/>
        </w:rPr>
        <w:t>технічних засобів телекомунікацій. Це</w:t>
      </w:r>
      <w:r>
        <w:rPr>
          <w:color w:val="000000"/>
          <w:sz w:val="28"/>
          <w:szCs w:val="28"/>
        </w:rPr>
        <w:t xml:space="preserve"> забезпечить безумовне виконання </w:t>
      </w:r>
      <w:r>
        <w:rPr>
          <w:sz w:val="28"/>
          <w:szCs w:val="28"/>
          <w:highlight w:val="white"/>
        </w:rPr>
        <w:t xml:space="preserve">цілі 2.2 розділу “Довгострокові пріоритети діяльності Уряду” Програми діяльності Кабінету Міністрів України, затвердженої постановою Кабінету Міністрів України </w:t>
      </w:r>
      <w:r>
        <w:rPr>
          <w:sz w:val="28"/>
          <w:szCs w:val="28"/>
          <w:highlight w:val="white"/>
        </w:rPr>
        <w:t xml:space="preserve">від </w:t>
      </w:r>
      <w:r>
        <w:rPr>
          <w:sz w:val="28"/>
          <w:szCs w:val="28"/>
        </w:rPr>
        <w:t>12.06.2020 № 471, щодо розвитку мереж доступу до Інтернету, створення умов для мобільних технологій четвертого та п’ятого поколінь.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Розмір надходжень до державного та місцевих бюджетів і державних цільових фондів, пов'язаних з дією акта - дія акта не в</w:t>
      </w:r>
      <w:r>
        <w:rPr>
          <w:sz w:val="28"/>
          <w:szCs w:val="28"/>
        </w:rPr>
        <w:t>пливає на надходження до державного чи місцевих бюджетів.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Кількість суб'єктів господарювання та/або фізичних ос</w:t>
      </w:r>
      <w:r>
        <w:rPr>
          <w:color w:val="000000"/>
          <w:sz w:val="28"/>
          <w:szCs w:val="28"/>
          <w:highlight w:val="white"/>
        </w:rPr>
        <w:t xml:space="preserve">іб, на яких поширюватиметься дія акта </w:t>
      </w:r>
      <w:r>
        <w:rPr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 xml:space="preserve"> 4 мобільні оператори на українському ринку.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Розмір коштів і час, що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витрачатимуться у зв’язку з виконання</w:t>
      </w:r>
      <w:r>
        <w:rPr>
          <w:color w:val="000000"/>
          <w:sz w:val="28"/>
          <w:szCs w:val="28"/>
        </w:rPr>
        <w:t xml:space="preserve">м вимог регуляторного акта: прийняття проекту </w:t>
      </w:r>
      <w:r>
        <w:rPr>
          <w:sz w:val="28"/>
          <w:szCs w:val="28"/>
        </w:rPr>
        <w:t xml:space="preserve">Закону </w:t>
      </w:r>
      <w:r>
        <w:rPr>
          <w:color w:val="000000"/>
          <w:sz w:val="28"/>
          <w:szCs w:val="28"/>
        </w:rPr>
        <w:t>не потребує фінансових витрат.</w:t>
      </w:r>
    </w:p>
    <w:p w:rsidR="001D775F" w:rsidRDefault="008B5BFE">
      <w:pPr>
        <w:shd w:val="clear" w:color="auto" w:fill="FFFFFF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Рівень поінформованості </w:t>
      </w: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високий, оскільки мобільні оператори будуть </w:t>
      </w:r>
      <w:r>
        <w:rPr>
          <w:sz w:val="28"/>
          <w:szCs w:val="28"/>
        </w:rPr>
        <w:t>проінформовані</w:t>
      </w:r>
      <w:r>
        <w:rPr>
          <w:color w:val="000000"/>
          <w:sz w:val="28"/>
          <w:szCs w:val="28"/>
        </w:rPr>
        <w:t xml:space="preserve"> про основні положення регуляторного акта шляхом розміщення його на офіційному веб-сайті</w:t>
      </w:r>
      <w:r>
        <w:rPr>
          <w:color w:val="000000"/>
          <w:sz w:val="28"/>
          <w:szCs w:val="28"/>
        </w:rPr>
        <w:t xml:space="preserve"> Міністерства цифрової трансформації України.</w:t>
      </w:r>
    </w:p>
    <w:p w:rsidR="001D775F" w:rsidRDefault="008B5BFE" w:rsidP="00A33215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Після прийняття регуляторного акта він буде опублікований у засобах масової інформації та розміщений на сайті Верховної Ради України.</w:t>
      </w:r>
    </w:p>
    <w:p w:rsidR="001D775F" w:rsidRDefault="001D775F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1D775F" w:rsidRDefault="008B5BFE">
      <w:pPr>
        <w:shd w:val="clear" w:color="auto" w:fill="FFFFFF"/>
        <w:tabs>
          <w:tab w:val="left" w:pos="993"/>
          <w:tab w:val="left" w:pos="1276"/>
        </w:tabs>
        <w:ind w:firstLine="705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ІХ.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Визначення заходів, за допомогою яких здійснюватиметься відстеження результативності дії регуляторного акта</w:t>
      </w:r>
    </w:p>
    <w:p w:rsidR="001D775F" w:rsidRDefault="008B5BFE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законодавства здійснюється базове, повторне та періодичне відстеження результативності регуляторного акта у строки, встановлені статте</w:t>
      </w:r>
      <w:r>
        <w:rPr>
          <w:sz w:val="28"/>
          <w:szCs w:val="28"/>
        </w:rPr>
        <w:t>ю 10 Закону України “Про засади державної регуляторної політики у сфері господарської діяльності”.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Базове відстеження результативності Закону буде здійснюватися після набрання ним чинності</w:t>
      </w:r>
      <w:r>
        <w:rPr>
          <w:sz w:val="28"/>
          <w:szCs w:val="28"/>
        </w:rPr>
        <w:t>, оскільки планується використовувати статистичний метод відстеження</w:t>
      </w:r>
      <w:r>
        <w:rPr>
          <w:sz w:val="28"/>
          <w:szCs w:val="28"/>
        </w:rPr>
        <w:t xml:space="preserve"> та статистичні дані.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Повторне відстеження планується здійснити через рік після набрання чинності регуляторним актом</w:t>
      </w:r>
      <w:r>
        <w:rPr>
          <w:sz w:val="28"/>
          <w:szCs w:val="28"/>
        </w:rPr>
        <w:t>.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Періодичне відстеження здійснюватиметься раз на три роки, починаючи з дня виконання заходів з повторного відстеження результативності цьог</w:t>
      </w:r>
      <w:r>
        <w:rPr>
          <w:color w:val="000000"/>
          <w:sz w:val="28"/>
          <w:szCs w:val="28"/>
        </w:rPr>
        <w:t>о акта</w:t>
      </w:r>
      <w:r>
        <w:rPr>
          <w:sz w:val="28"/>
          <w:szCs w:val="28"/>
        </w:rPr>
        <w:t>.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Джерело даних: статистичні дані, отримані від мобільних операторів.</w:t>
      </w:r>
    </w:p>
    <w:p w:rsidR="001D775F" w:rsidRDefault="008B5B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Виконавець заходів з відстеження результативності регуляторного акта -  Міністерство цифрової трансформації України.</w:t>
      </w:r>
    </w:p>
    <w:p w:rsidR="001D775F" w:rsidRDefault="001D775F" w:rsidP="00A33215">
      <w:pPr>
        <w:shd w:val="clear" w:color="auto" w:fill="FFFFFF"/>
        <w:jc w:val="both"/>
        <w:rPr>
          <w:sz w:val="24"/>
          <w:szCs w:val="24"/>
        </w:rPr>
      </w:pPr>
    </w:p>
    <w:p w:rsidR="00A33215" w:rsidRDefault="00A33215" w:rsidP="00A33215">
      <w:pPr>
        <w:shd w:val="clear" w:color="auto" w:fill="FFFFFF"/>
        <w:jc w:val="both"/>
        <w:rPr>
          <w:sz w:val="24"/>
          <w:szCs w:val="24"/>
        </w:rPr>
      </w:pPr>
    </w:p>
    <w:p w:rsidR="001D775F" w:rsidRDefault="008B5BFE">
      <w:pPr>
        <w:shd w:val="clear" w:color="auto" w:fill="FFFFFF"/>
        <w:jc w:val="both"/>
        <w:rPr>
          <w:sz w:val="24"/>
          <w:szCs w:val="24"/>
        </w:rPr>
      </w:pPr>
      <w:bookmarkStart w:id="10" w:name="_1fob9te" w:colFirst="0" w:colLast="0"/>
      <w:bookmarkEnd w:id="10"/>
      <w:r>
        <w:rPr>
          <w:b/>
          <w:color w:val="000000"/>
          <w:sz w:val="28"/>
          <w:szCs w:val="28"/>
        </w:rPr>
        <w:t>Віце-прем'єр-міністр України – Міністр</w:t>
      </w:r>
    </w:p>
    <w:p w:rsidR="001D775F" w:rsidRPr="00A33215" w:rsidRDefault="008B5BFE" w:rsidP="00A33215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цифрової трансформації України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      Михайло ФЕДОРОВ</w:t>
      </w:r>
      <w:bookmarkStart w:id="11" w:name="_3znysh7" w:colFirst="0" w:colLast="0"/>
      <w:bookmarkEnd w:id="11"/>
    </w:p>
    <w:sectPr w:rsidR="001D775F" w:rsidRPr="00A33215" w:rsidSect="00A33215">
      <w:headerReference w:type="default" r:id="rId8"/>
      <w:headerReference w:type="first" r:id="rId9"/>
      <w:footerReference w:type="first" r:id="rId10"/>
      <w:pgSz w:w="11906" w:h="16838"/>
      <w:pgMar w:top="1135" w:right="567" w:bottom="1276" w:left="1700" w:header="426" w:footer="30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5BFE" w:rsidRDefault="008B5BFE">
      <w:r>
        <w:separator/>
      </w:r>
    </w:p>
  </w:endnote>
  <w:endnote w:type="continuationSeparator" w:id="0">
    <w:p w:rsidR="008B5BFE" w:rsidRDefault="008B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775F" w:rsidRDefault="001D775F"/>
  <w:p w:rsidR="001D775F" w:rsidRDefault="001D775F"/>
  <w:p w:rsidR="001D775F" w:rsidRDefault="001D775F"/>
  <w:p w:rsidR="001D775F" w:rsidRDefault="001D775F"/>
  <w:p w:rsidR="001D775F" w:rsidRDefault="001D775F"/>
  <w:p w:rsidR="001D775F" w:rsidRDefault="001D775F"/>
  <w:p w:rsidR="001D775F" w:rsidRDefault="001D775F"/>
  <w:p w:rsidR="001D775F" w:rsidRDefault="001D775F"/>
  <w:p w:rsidR="001D775F" w:rsidRDefault="001D775F"/>
  <w:p w:rsidR="001D775F" w:rsidRDefault="001D77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5BFE" w:rsidRDefault="008B5BFE">
      <w:r>
        <w:separator/>
      </w:r>
    </w:p>
  </w:footnote>
  <w:footnote w:type="continuationSeparator" w:id="0">
    <w:p w:rsidR="008B5BFE" w:rsidRDefault="008B5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775F" w:rsidRDefault="008B5B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 w:rsidR="00A33215">
      <w:rPr>
        <w:sz w:val="28"/>
        <w:szCs w:val="28"/>
      </w:rPr>
      <w:fldChar w:fldCharType="separate"/>
    </w:r>
    <w:r w:rsidR="00A3321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2997200</wp:posOffset>
              </wp:positionH>
              <wp:positionV relativeFrom="paragraph">
                <wp:posOffset>0</wp:posOffset>
              </wp:positionV>
              <wp:extent cx="91440" cy="173990"/>
              <wp:effectExtent l="0" t="0" r="0" b="0"/>
              <wp:wrapSquare wrapText="bothSides" distT="0" distB="0" distL="0" distR="0"/>
              <wp:docPr id="1" name="Прямокут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4568" y="3707293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1D775F" w:rsidRDefault="001D775F">
                          <w:pPr>
                            <w:textDirection w:val="btLr"/>
                          </w:pPr>
                        </w:p>
                        <w:p w:rsidR="001D775F" w:rsidRDefault="001D77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кутник 1" o:spid="_x0000_s1026" style="position:absolute;left:0;text-align:left;margin-left:236pt;margin-top:0;width:7.2pt;height:13.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YgBgIAAMEDAAAOAAAAZHJzL2Uyb0RvYy54bWysU0tu2zAQ3RfoHQjua/kTO6lhOSgSuCgQ&#10;tAaSHoCmKIsARbIc2pJ3RXuAHqHXKIK2Z5BvlCEpJ/3simpBzXBGb+a9GS0u21qRvXAgjc7paDCk&#10;RGhuCqm3OX1/t3pxQQl4pgumjBY5PQigl8vnzxaNnYuxqYwqhCMIomHe2JxW3tt5lgGvRM1gYKzQ&#10;GCyNq5lH122zwrEG0WuVjYfDWdYYV1hnuADA2+sUpMuIX5aC+3dlCcITlVPszcfTxXMTzmy5YPOt&#10;Y7aSvG+D/UMXNZMaiz5CXTPPyM7Jv6BqyZ0BU/oBN3VmylJyETkgm9HwDza3FbMickFxwD7KBP8P&#10;lr/drx2RBc6OEs1qHFH39fjx+KX73v3s7o+fj5+6H9237p6MglaNhTl+cmvXrvcAzUC8LV0d3kiJ&#10;tDmdTkZn0xkO/5DTyfnwfPxykrQWrSccE2bji9mUEo5xzDwbTUM4e8KxDvxrYWoSjJw6nGQUmO1v&#10;wKfUU0ooC0bJYiWVio7bbq6UI3uGU1/FJ32rbMXSbZw8loOUGkv/hqF0QNImYKZy4SYLAiTKwfLt&#10;pu112JjigEqC5SuJHd8w8GvmcJdQ1wb3K6fwYcecoES90TjAsIwnw52MzclgmlcG19RTkswrH5c2&#10;9fRq500powqhi1S6bw73JJLpdzos4q9+zHr685YPAAAA//8DAFBLAwQUAAYACAAAACEA/Wx9pN0A&#10;AAAHAQAADwAAAGRycy9kb3ducmV2LnhtbEyPUUvDMBSF3wX/Q7iCby61hGXUpkMGA8UhWPU9a2Jb&#10;TG5Kkq3dv/f6pC8XDudwznfr7eIdO9uYxoAK7lcFMItdMCP2Cj7e93cbYClrNNoFtAouNsG2ub6q&#10;dWXCjG/23OaeUQmmSisYcp4qzlM3WK/TKkwWyfsK0etMMvbcRD1TuXe8LIo193pEWhj0ZHeD7b7b&#10;k1cguzZ+zoe9kO3T6yE7lM+7y4tStzfL4wOwbJf8F4ZffEKHhpiO4YQmMadAyJJ+yQroki02awHs&#10;qKCUAnhT8//8zQ8AAAD//wMAUEsBAi0AFAAGAAgAAAAhALaDOJL+AAAA4QEAABMAAAAAAAAAAAAA&#10;AAAAAAAAAFtDb250ZW50X1R5cGVzXS54bWxQSwECLQAUAAYACAAAACEAOP0h/9YAAACUAQAACwAA&#10;AAAAAAAAAAAAAAAvAQAAX3JlbHMvLnJlbHNQSwECLQAUAAYACAAAACEAUjNGIAYCAADBAwAADgAA&#10;AAAAAAAAAAAAAAAuAgAAZHJzL2Uyb0RvYy54bWxQSwECLQAUAAYACAAAACEA/Wx9pN0AAAAHAQAA&#10;DwAAAAAAAAAAAAAAAABgBAAAZHJzL2Rvd25yZXYueG1sUEsFBgAAAAAEAAQA8wAAAGoFAAAAAA==&#10;" stroked="f">
              <v:fill opacity="0"/>
              <v:textbox inset="0,0,0,0">
                <w:txbxContent>
                  <w:p w:rsidR="001D775F" w:rsidRDefault="001D775F">
                    <w:pPr>
                      <w:textDirection w:val="btLr"/>
                    </w:pPr>
                  </w:p>
                  <w:p w:rsidR="001D775F" w:rsidRDefault="001D77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775F" w:rsidRDefault="001D775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845BC"/>
    <w:multiLevelType w:val="multilevel"/>
    <w:tmpl w:val="0EE6EE42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5F"/>
    <w:rsid w:val="001D775F"/>
    <w:rsid w:val="008B5BFE"/>
    <w:rsid w:val="00A3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AEC1"/>
  <w15:docId w15:val="{9C254413-DDB8-4124-8CEC-E1E7D124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ind w:left="-108" w:right="-108"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7FB56-E676-4D2F-B88E-E4D4D461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2939</Words>
  <Characters>16758</Characters>
  <Application>Microsoft Office Word</Application>
  <DocSecurity>0</DocSecurity>
  <Lines>139</Lines>
  <Paragraphs>39</Paragraphs>
  <ScaleCrop>false</ScaleCrop>
  <Company/>
  <LinksUpToDate>false</LinksUpToDate>
  <CharactersWithSpaces>19658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Кічак Юлія Василівна</cp:lastModifiedBy>
  <cp:revision>2</cp:revision>
  <dcterms:created xsi:type="dcterms:W3CDTF">2021-02-19T15:25:00Z</dcterms:created>
  <dcterms:modified xsi:type="dcterms:W3CDTF">2021-02-19T15:34:00Z</dcterms:modified>
</cp:coreProperties>
</file>