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5220A0" w14:textId="77777777" w:rsidR="00351856" w:rsidRDefault="00D24F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ІНФОРМАЦІЯ </w:t>
      </w:r>
    </w:p>
    <w:p w14:paraId="30BA7EFB" w14:textId="77777777" w:rsidR="00351856" w:rsidRDefault="00D24F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Міністерства цифрової трансформації України </w:t>
      </w:r>
    </w:p>
    <w:p w14:paraId="7DA6298A" w14:textId="77777777" w:rsidR="00351856" w:rsidRDefault="00D24F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 заплановані у </w:t>
      </w:r>
      <w:r w:rsidR="00DE3D48">
        <w:rPr>
          <w:rFonts w:ascii="Times New Roman" w:eastAsia="Times New Roman" w:hAnsi="Times New Roman" w:cs="Times New Roman"/>
          <w:b/>
          <w:sz w:val="28"/>
          <w:szCs w:val="28"/>
        </w:rPr>
        <w:t>листопаді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2020 року консультації з громадськістю щодо проектів актів</w:t>
      </w:r>
    </w:p>
    <w:p w14:paraId="6A948279" w14:textId="77777777" w:rsidR="00351856" w:rsidRDefault="003518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6"/>
        <w:tblW w:w="141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3969"/>
        <w:gridCol w:w="2835"/>
        <w:gridCol w:w="1613"/>
        <w:gridCol w:w="3038"/>
      </w:tblGrid>
      <w:tr w:rsidR="00351856" w14:paraId="4348EEB4" w14:textId="77777777" w:rsidTr="00D52E9B">
        <w:tc>
          <w:tcPr>
            <w:tcW w:w="2689" w:type="dxa"/>
          </w:tcPr>
          <w:p w14:paraId="5E5E5929" w14:textId="77777777" w:rsidR="00351856" w:rsidRDefault="00D24F5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Назва проекту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акта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що виноситься на обговорення</w:t>
            </w:r>
          </w:p>
        </w:tc>
        <w:tc>
          <w:tcPr>
            <w:tcW w:w="3969" w:type="dxa"/>
          </w:tcPr>
          <w:p w14:paraId="648F67BD" w14:textId="77777777" w:rsidR="00351856" w:rsidRDefault="00D24F5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Мета розроблення проекту акта (2-3 речення)</w:t>
            </w:r>
          </w:p>
        </w:tc>
        <w:tc>
          <w:tcPr>
            <w:tcW w:w="2835" w:type="dxa"/>
          </w:tcPr>
          <w:p w14:paraId="6C8BA270" w14:textId="77777777" w:rsidR="00351856" w:rsidRDefault="00D24F5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Електронна адреса оприлюднення проекту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акта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 офіційному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вебсайті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органу виконавчої влади</w:t>
            </w:r>
          </w:p>
        </w:tc>
        <w:tc>
          <w:tcPr>
            <w:tcW w:w="1613" w:type="dxa"/>
          </w:tcPr>
          <w:p w14:paraId="43E3884A" w14:textId="77777777" w:rsidR="00351856" w:rsidRDefault="00D24F5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Орієнтовна дата проведення обговорення</w:t>
            </w:r>
          </w:p>
        </w:tc>
        <w:tc>
          <w:tcPr>
            <w:tcW w:w="3038" w:type="dxa"/>
          </w:tcPr>
          <w:p w14:paraId="0AF0646A" w14:textId="77777777" w:rsidR="00351856" w:rsidRDefault="00D24F5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Прізвище, ім’я, по батькові, посада, контактні дані відповідальної особи органу виконавчої влади</w:t>
            </w:r>
          </w:p>
        </w:tc>
      </w:tr>
      <w:tr w:rsidR="00351856" w14:paraId="2615EB96" w14:textId="77777777" w:rsidTr="00D52E9B">
        <w:tc>
          <w:tcPr>
            <w:tcW w:w="2689" w:type="dxa"/>
          </w:tcPr>
          <w:p w14:paraId="5FFA5212" w14:textId="6689C0D4" w:rsidR="00351856" w:rsidRPr="00805401" w:rsidRDefault="00810169" w:rsidP="00CF4AA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 Закону України «</w:t>
            </w:r>
            <w:r w:rsidR="00805401" w:rsidRPr="00805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 внесення змін до деяких законодавчих актів України щодо електронних довірчих посл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 та електронної ідентифікації»</w:t>
            </w:r>
          </w:p>
        </w:tc>
        <w:tc>
          <w:tcPr>
            <w:tcW w:w="3969" w:type="dxa"/>
          </w:tcPr>
          <w:p w14:paraId="122DD122" w14:textId="72AC143F" w:rsidR="00805401" w:rsidRDefault="00805401" w:rsidP="00CF4AAA">
            <w:pPr>
              <w:tabs>
                <w:tab w:val="left" w:pos="1139"/>
              </w:tabs>
              <w:ind w:firstLine="4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heading=h.2et92p0" w:colFirst="0" w:colLast="0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8054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досконалення державного регулювання у сферах електронних довірчих послуг та електронної ідентифікації шляхом перегляду та уточнення положень Закону України </w:t>
            </w:r>
            <w:r w:rsidR="009053B1">
              <w:rPr>
                <w:rFonts w:ascii="Times New Roman" w:eastAsia="Times New Roman" w:hAnsi="Times New Roman" w:cs="Times New Roman"/>
                <w:sz w:val="24"/>
                <w:szCs w:val="24"/>
              </w:rPr>
              <w:t>«Про електронні довірчі послуги»</w:t>
            </w:r>
            <w:r w:rsidRPr="008054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деяких інших законодавчих актів України на основі законодавства Європейського Союзу та досвіду держав-членів Європейського Союзу.</w:t>
            </w:r>
          </w:p>
          <w:p w14:paraId="212B5ED9" w14:textId="02BCCFC2" w:rsidR="00CF4AAA" w:rsidRPr="00805401" w:rsidRDefault="00CF4AAA" w:rsidP="00CF4AAA">
            <w:pPr>
              <w:tabs>
                <w:tab w:val="left" w:pos="1139"/>
              </w:tabs>
              <w:ind w:firstLine="4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Суть запропонованих змін полягає у</w:t>
            </w:r>
            <w:r w:rsidRPr="00642B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B22">
              <w:rPr>
                <w:rFonts w:ascii="Times New Roman" w:hAnsi="Times New Roman" w:cs="Times New Roman"/>
                <w:sz w:val="24"/>
                <w:szCs w:val="24"/>
              </w:rPr>
              <w:t>доповненн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642B22">
              <w:rPr>
                <w:rFonts w:ascii="Times New Roman" w:hAnsi="Times New Roman" w:cs="Times New Roman"/>
                <w:sz w:val="24"/>
                <w:szCs w:val="24"/>
              </w:rPr>
              <w:t xml:space="preserve"> положеннями щодо встановлення особливостей державного регулювання у сфері електронної ідентифікації, а також визнання іноземних схем та засобів електронної ідентифікації;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B22">
              <w:rPr>
                <w:rFonts w:ascii="Times New Roman" w:hAnsi="Times New Roman" w:cs="Times New Roman"/>
                <w:sz w:val="24"/>
                <w:szCs w:val="24"/>
              </w:rPr>
              <w:t>визначенн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642B22">
              <w:rPr>
                <w:rFonts w:ascii="Times New Roman" w:hAnsi="Times New Roman" w:cs="Times New Roman"/>
                <w:sz w:val="24"/>
                <w:szCs w:val="24"/>
              </w:rPr>
              <w:t xml:space="preserve"> переліку кваліфікованих електронних довірчих послуг, випадків їх обов’язкового використання; забезпеченн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642B22">
              <w:rPr>
                <w:rFonts w:ascii="Times New Roman" w:hAnsi="Times New Roman" w:cs="Times New Roman"/>
                <w:sz w:val="24"/>
                <w:szCs w:val="24"/>
              </w:rPr>
              <w:t xml:space="preserve"> можливості віддаленої ідентифікації особи, яка звернулася за отриманням послуги формування </w:t>
            </w:r>
            <w:r w:rsidRPr="00642B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кваліфікованого сертифіката відкритого ключа;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B22">
              <w:rPr>
                <w:rFonts w:ascii="Times New Roman" w:hAnsi="Times New Roman" w:cs="Times New Roman"/>
                <w:sz w:val="24"/>
                <w:szCs w:val="24"/>
              </w:rPr>
              <w:t>встановленн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642B22">
              <w:rPr>
                <w:rFonts w:ascii="Times New Roman" w:hAnsi="Times New Roman" w:cs="Times New Roman"/>
                <w:sz w:val="24"/>
                <w:szCs w:val="24"/>
              </w:rPr>
              <w:t xml:space="preserve"> вимог до удосконаленого електронного підпису та печатки;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B22">
              <w:rPr>
                <w:rFonts w:ascii="Times New Roman" w:hAnsi="Times New Roman" w:cs="Times New Roman"/>
                <w:sz w:val="24"/>
                <w:szCs w:val="24"/>
              </w:rPr>
              <w:t>уточненн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642B22">
              <w:rPr>
                <w:rFonts w:ascii="Times New Roman" w:hAnsi="Times New Roman" w:cs="Times New Roman"/>
                <w:sz w:val="24"/>
                <w:szCs w:val="24"/>
              </w:rPr>
              <w:t xml:space="preserve"> вимог до засобів кваліфікованого електронного підпису чи печатки;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B22">
              <w:rPr>
                <w:rFonts w:ascii="Times New Roman" w:hAnsi="Times New Roman" w:cs="Times New Roman"/>
                <w:sz w:val="24"/>
                <w:szCs w:val="24"/>
              </w:rPr>
              <w:t>використанн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642B22">
              <w:rPr>
                <w:rFonts w:ascii="Times New Roman" w:hAnsi="Times New Roman" w:cs="Times New Roman"/>
                <w:sz w:val="24"/>
                <w:szCs w:val="24"/>
              </w:rPr>
              <w:t xml:space="preserve"> псевдонімів у сферах електронних довірчих послуг та електронної ідентифікації;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B22">
              <w:rPr>
                <w:rFonts w:ascii="Times New Roman" w:hAnsi="Times New Roman" w:cs="Times New Roman"/>
                <w:sz w:val="24"/>
                <w:szCs w:val="24"/>
              </w:rPr>
              <w:t>уточненн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642B22">
              <w:rPr>
                <w:rFonts w:ascii="Times New Roman" w:hAnsi="Times New Roman" w:cs="Times New Roman"/>
                <w:sz w:val="24"/>
                <w:szCs w:val="24"/>
              </w:rPr>
              <w:t xml:space="preserve"> повноважень органів державної влади, що здійснюють державне регулювання у сферах електронних довірчих послуг та електронної ідентифікації;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B22">
              <w:rPr>
                <w:rFonts w:ascii="Times New Roman" w:hAnsi="Times New Roman" w:cs="Times New Roman"/>
                <w:sz w:val="24"/>
                <w:szCs w:val="24"/>
              </w:rPr>
              <w:t>доповненн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642B22">
              <w:rPr>
                <w:rFonts w:ascii="Times New Roman" w:hAnsi="Times New Roman" w:cs="Times New Roman"/>
                <w:sz w:val="24"/>
                <w:szCs w:val="24"/>
              </w:rPr>
              <w:t xml:space="preserve"> понятійного апарату.</w:t>
            </w:r>
          </w:p>
        </w:tc>
        <w:tc>
          <w:tcPr>
            <w:tcW w:w="2835" w:type="dxa"/>
          </w:tcPr>
          <w:p w14:paraId="24142C71" w14:textId="2D714A2D" w:rsidR="00805401" w:rsidRDefault="00A27089" w:rsidP="00CF4A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anchor="group-planned" w:history="1">
              <w:r w:rsidR="00810169" w:rsidRPr="009D3B3A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</w:rPr>
                <w:t>https://thedigital.gov.ua/regulations#group-planned</w:t>
              </w:r>
            </w:hyperlink>
            <w:r w:rsidR="0081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" w:history="1">
              <w:r w:rsidR="00805401" w:rsidRPr="00FC3F04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</w:rPr>
                <w:t>https://www.czo.gov.ua/</w:t>
              </w:r>
            </w:hyperlink>
          </w:p>
          <w:p w14:paraId="17E26A4D" w14:textId="7F1D5A0A" w:rsidR="00805401" w:rsidRDefault="00805401" w:rsidP="00CF4A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14:paraId="6414B9AD" w14:textId="6B53B7A1" w:rsidR="00351856" w:rsidRDefault="00B77BFF" w:rsidP="00CF4A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805401">
              <w:rPr>
                <w:rFonts w:ascii="Times New Roman" w:eastAsia="Times New Roman" w:hAnsi="Times New Roman" w:cs="Times New Roman"/>
                <w:sz w:val="24"/>
                <w:szCs w:val="24"/>
              </w:rPr>
              <w:t>истопад 2020 року</w:t>
            </w:r>
          </w:p>
        </w:tc>
        <w:tc>
          <w:tcPr>
            <w:tcW w:w="3038" w:type="dxa"/>
          </w:tcPr>
          <w:p w14:paraId="141FAB49" w14:textId="77777777" w:rsidR="00810169" w:rsidRDefault="00D16651" w:rsidP="00CF4A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Ісаєнко Сергій Вікторович, державний експерт експертної групи розвитку електронних довірчих послуг Директорату функціонального розвитку цифровізації, </w:t>
            </w:r>
          </w:p>
          <w:p w14:paraId="0A241A69" w14:textId="3116BBED" w:rsidR="00351856" w:rsidRPr="00D16651" w:rsidRDefault="00810169" w:rsidP="00CF4A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r w:rsidR="00B77BFF" w:rsidRPr="00642B22">
              <w:rPr>
                <w:rFonts w:ascii="Times New Roman" w:hAnsi="Times New Roman" w:cs="Times New Roman"/>
                <w:sz w:val="24"/>
                <w:szCs w:val="24"/>
              </w:rPr>
              <w:t>063-198-02-33</w:t>
            </w:r>
          </w:p>
        </w:tc>
      </w:tr>
      <w:tr w:rsidR="00810169" w14:paraId="6BBEB070" w14:textId="77777777" w:rsidTr="00D52E9B">
        <w:tc>
          <w:tcPr>
            <w:tcW w:w="2689" w:type="dxa"/>
          </w:tcPr>
          <w:p w14:paraId="4D1265D1" w14:textId="6B0A3981" w:rsidR="00810169" w:rsidRPr="00805401" w:rsidRDefault="00810169" w:rsidP="0081016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Проект Антикорупційної програми Міністерства цифрової </w:t>
            </w:r>
            <w:r w:rsidR="00D52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bookmarkStart w:id="2" w:name="_GoBack"/>
            <w:bookmarkEnd w:id="2"/>
            <w:r w:rsidRPr="0081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рансформації України на 2020-2021 роки</w:t>
            </w:r>
            <w:r w:rsidRPr="0081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14:paraId="7C18E4CD" w14:textId="5203E350" w:rsidR="00810169" w:rsidRPr="00805401" w:rsidRDefault="00810169" w:rsidP="0081016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20E7632" w14:textId="4DE97D22" w:rsidR="00810169" w:rsidRPr="00D52E9B" w:rsidRDefault="00810169" w:rsidP="00D52E9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Розробляється на виконання статті 19 Закону України «Про запобігання корупції», Порядку підготовки, подання антикорупційних програм на погодження до Національного агентства з питань запобігання корупції та здійснення їх погодження, затвердженого рішенням Національного агентства з питань запобігання корупції від 8 грудня 2017 року № 1379, зареєстрованого в Міністерстві юстиції України 22 січня 2018 року за № 87/31539, наказу </w:t>
            </w:r>
            <w:proofErr w:type="spellStart"/>
            <w:r w:rsidRPr="0081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Мінцифри</w:t>
            </w:r>
            <w:proofErr w:type="spellEnd"/>
            <w:r w:rsidRPr="0081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від 19.10.2020 № 155 «Про Комісію з оцінки корупційних ризиків Міністерства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цифрової трансформації України»</w:t>
            </w:r>
          </w:p>
        </w:tc>
        <w:tc>
          <w:tcPr>
            <w:tcW w:w="2835" w:type="dxa"/>
          </w:tcPr>
          <w:p w14:paraId="5FD94164" w14:textId="627E6FA2" w:rsidR="00810169" w:rsidRDefault="00A27089" w:rsidP="00CF4AAA">
            <w:pPr>
              <w:jc w:val="both"/>
            </w:pPr>
            <w:hyperlink r:id="rId7" w:anchor="group-planned" w:history="1">
              <w:r w:rsidR="00810169" w:rsidRPr="009D3B3A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</w:rPr>
                <w:t>https://thedigital.gov.ua/regulations#group-planned</w:t>
              </w:r>
            </w:hyperlink>
            <w:r w:rsidR="0081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13" w:type="dxa"/>
          </w:tcPr>
          <w:p w14:paraId="2CAE8261" w14:textId="411F10F6" w:rsidR="00810169" w:rsidRDefault="00810169" w:rsidP="00CF4A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30 листопада </w:t>
            </w:r>
            <w:r w:rsidRPr="0081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року</w:t>
            </w:r>
          </w:p>
        </w:tc>
        <w:tc>
          <w:tcPr>
            <w:tcW w:w="3038" w:type="dxa"/>
          </w:tcPr>
          <w:p w14:paraId="3B283F01" w14:textId="77777777" w:rsidR="00810169" w:rsidRDefault="00810169" w:rsidP="00CF4AA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Островська Анастасія Леонідівна – головний спеціаліст сектору з питань запобігання та виявлення корупції, </w:t>
            </w:r>
          </w:p>
          <w:p w14:paraId="3DCC900A" w14:textId="1DFAD774" w:rsidR="00810169" w:rsidRDefault="00810169" w:rsidP="00CF4A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1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proofErr w:type="spellEnd"/>
            <w:r w:rsidRPr="0081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.: 207-17-31</w:t>
            </w:r>
          </w:p>
        </w:tc>
      </w:tr>
    </w:tbl>
    <w:p w14:paraId="31FBB13C" w14:textId="77777777" w:rsidR="00351856" w:rsidRDefault="00351856"/>
    <w:sectPr w:rsidR="00351856">
      <w:pgSz w:w="15840" w:h="12240"/>
      <w:pgMar w:top="850" w:right="1134" w:bottom="1701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856"/>
    <w:rsid w:val="00351856"/>
    <w:rsid w:val="00805401"/>
    <w:rsid w:val="00810169"/>
    <w:rsid w:val="009053B1"/>
    <w:rsid w:val="00AD18FA"/>
    <w:rsid w:val="00B77BFF"/>
    <w:rsid w:val="00CF4AAA"/>
    <w:rsid w:val="00D16651"/>
    <w:rsid w:val="00D24F5F"/>
    <w:rsid w:val="00D52E9B"/>
    <w:rsid w:val="00DE3D48"/>
    <w:rsid w:val="00DF7645"/>
    <w:rsid w:val="00EE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186AC"/>
  <w15:docId w15:val="{CB703A19-4522-4DA1-8F32-6DEA68001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DF7645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054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hedigital.gov.ua/regulation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czo.gov.ua/" TargetMode="External"/><Relationship Id="rId5" Type="http://schemas.openxmlformats.org/officeDocument/2006/relationships/hyperlink" Target="https://thedigital.gov.ua/regulation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G/WJAuAo3qw5nS7w+PbPQ18yDA==">AMUW2mV+srVhJ2J7YWurjYyZzkporP8ro3HY0GlfYccd7nooE/TaNOljeto15raHaYy9xV3PvqzCQQrHy/gj+Ui8gdIfFMuItXe/xylwDN0zhITvHnljv7zN7DodZoGiXXWYDnMjRdCSS1qwdZ/sV0EMy6sSBLCpwpJiUyR01o5o7YcfVrr+tuHoFfunmH/IyTlbEbW1itON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Катя Овсяна</cp:lastModifiedBy>
  <cp:revision>9</cp:revision>
  <dcterms:created xsi:type="dcterms:W3CDTF">2020-10-15T04:28:00Z</dcterms:created>
  <dcterms:modified xsi:type="dcterms:W3CDTF">2020-10-22T11:20:00Z</dcterms:modified>
</cp:coreProperties>
</file>